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financial management</w:t>
        </w:r>
      </w:hyperlink>
      <w:bookmarkEnd w:id="0"/>
    </w:p>
    <w:p>
      <w:r>
        <w:br w:type="page"/>
      </w:r>
    </w:p>
    <w:p>
      <w:pPr>
        <w:pStyle w:val="TextBody"/>
        <w:bidi w:val="0"/>
        <w:jc w:val="start"/>
        <w:rPr/>
      </w:pPr>
      <w:r>
        <w:rPr/>
        <w:br/>
        <w:t xml:space="preserve">Strategic Financial Management </w:t>
      </w:r>
    </w:p>
    <w:p>
      <w:pPr>
        <w:pStyle w:val="TextBody"/>
        <w:bidi w:val="0"/>
        <w:jc w:val="start"/>
        <w:rPr>
          <w:u w:val="single"/>
        </w:rPr>
      </w:pPr>
      <w:r>
        <w:rPr>
          <w:u w:val="single"/>
        </w:rPr>
        <w:t xml:space="preserve">Executive Summary </w:t>
      </w:r>
    </w:p>
    <w:p>
      <w:pPr>
        <w:pStyle w:val="TextBody"/>
        <w:bidi w:val="0"/>
        <w:spacing w:before="0" w:after="283"/>
        <w:jc w:val="start"/>
        <w:rPr/>
      </w:pPr>
      <w:r>
        <w:rPr/>
        <w:t xml:space="preserve">The AYR Co. and its Board of Directors’ have requested useful information about two investment opportunities that are currently available to them, namely; Project Wolf and Project Aspire. To provide this information in a way that is both useful and efficient, this report uses a number of Capital budgeting techniques have been utilized to ensure confidence in the information and recommendations provided. Thinking proactively, recommendations have not only been made about which project is to be selected, instead it  has also been made about what factors should be prioritized and looked for when looking at future investment opportunities. Lastly, this report takes a look at appropriate choices for sources of funds, cost of capital and the overall impact placed on the weighted average cost of capital for AYR Co. </w:t>
      </w:r>
    </w:p>
    <w:p>
      <w:pPr>
        <w:pStyle w:val="TextBody"/>
        <w:bidi w:val="0"/>
        <w:spacing w:before="0" w:after="283"/>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Question No. 1 </w:t>
      </w:r>
    </w:p>
    <w:p>
      <w:pPr>
        <w:pStyle w:val="TextBody"/>
        <w:bidi w:val="0"/>
        <w:spacing w:before="0" w:after="283"/>
        <w:jc w:val="start"/>
        <w:rPr/>
      </w:pPr>
      <w:r>
        <w:rPr/>
        <w:t xml:space="preserve">Answer to Question No. 2 </w:t>
      </w:r>
    </w:p>
    <w:p>
      <w:pPr>
        <w:pStyle w:val="TextBody"/>
        <w:bidi w:val="0"/>
        <w:spacing w:before="0" w:after="283"/>
        <w:jc w:val="start"/>
        <w:rPr/>
      </w:pPr>
      <w:r>
        <w:rPr/>
        <w:t xml:space="preserve">Answer to question No. 3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The Aspire and Wolf projects are investment opportunities currently being evaluated by the AYR Co. and its Board of Directors. They are seeking to unearth sufficient and adequate information which will guide the selection of one project versus the next. This evidence it is assumed will be gained from assessing the Capital budgeting techniques; net present value, payback period and internal rate of return given the understanding of current budgetary constraints. </w:t>
      </w:r>
    </w:p>
    <w:p>
      <w:pPr>
        <w:pStyle w:val="TextBody"/>
        <w:bidi w:val="0"/>
        <w:spacing w:before="0" w:after="283"/>
        <w:jc w:val="start"/>
        <w:rPr/>
      </w:pPr>
      <w:r>
        <w:rPr/>
        <w:t xml:space="preserve">Though similar in some ways, each project is unique and differs in various ways. Project Wolf will seek to provide a new direction by appealing to a new group of customers, whilst project Aspire will build on the current product range and aims to appeal to both current and potential customers (Abdullah &amp; Said, 2017). </w:t>
      </w:r>
    </w:p>
    <w:p>
      <w:pPr>
        <w:pStyle w:val="TextBody"/>
        <w:bidi w:val="0"/>
        <w:spacing w:before="0" w:after="283"/>
        <w:jc w:val="start"/>
        <w:rPr/>
      </w:pPr>
      <w:r>
        <w:rPr/>
        <w:t xml:space="preserve">As one would expect based on the magnitude of the decision, the Board of Directors are expecting as much details as they can get about which project is recommended and the reasons why it is recommended versus the next. They would also love to understand what factors of the decision process they can utilize in similar instances for future projects using the capital budgeting techniques. Most importantly the Board of Directors would also like advice on the sources of funds, debt or equity to be chosen for the funding of project wolf or aspire when selected  (Boghossian, 2017). </w:t>
      </w:r>
    </w:p>
    <w:p>
      <w:pPr>
        <w:pStyle w:val="Heading2"/>
        <w:bidi w:val="0"/>
        <w:jc w:val="start"/>
        <w:rPr/>
      </w:pPr>
      <w:r>
        <w:rPr/>
        <w:t xml:space="preserve">Question No. 1 </w:t>
      </w:r>
    </w:p>
    <w:p>
      <w:pPr>
        <w:pStyle w:val="Heading3"/>
        <w:bidi w:val="0"/>
        <w:jc w:val="start"/>
        <w:rPr/>
      </w:pPr>
      <w:r>
        <w:rPr/>
        <w:t xml:space="preserve">Answer </w:t>
      </w:r>
    </w:p>
    <w:p>
      <w:pPr>
        <w:pStyle w:val="TextBody"/>
        <w:bidi w:val="0"/>
        <w:spacing w:before="0" w:after="283"/>
        <w:jc w:val="start"/>
        <w:rPr/>
      </w:pPr>
      <w:r>
        <w:rPr/>
        <w:t xml:space="preserve">Before going into the detailed calculation, it is better to have a brief idea on the three of the Capital Budgeting Techniques, naming Net Present Value, Internal rate of Return and Payback Period, which have been discussed below: </w:t>
      </w:r>
    </w:p>
    <w:p>
      <w:pPr>
        <w:pStyle w:val="TextBody"/>
        <w:bidi w:val="0"/>
        <w:spacing w:before="0" w:after="283"/>
        <w:jc w:val="start"/>
        <w:rPr/>
      </w:pPr>
      <w:r>
        <w:rPr/>
        <w:t xml:space="preserve">Net Present Value </w:t>
      </w:r>
    </w:p>
    <w:p>
      <w:pPr>
        <w:pStyle w:val="TextBody"/>
        <w:bidi w:val="0"/>
        <w:spacing w:before="0" w:after="283"/>
        <w:jc w:val="start"/>
        <w:rPr/>
      </w:pPr>
      <w:r>
        <w:rPr/>
        <w:t xml:space="preserve">It is the method of capital budgeting in which at first the future cash inflows to be generated in the project are estimated, thereafter this future values of cash inflows are discounted at a rate to arrive at the present value of future Cash inflows from which the present value of cash outflow, that is the value of investment proposed to be made in present is subtracted to get the Net present Value of the project. If the value derived is positive, then it is recommended to select the project otherwise not. </w:t>
      </w:r>
    </w:p>
    <w:p>
      <w:pPr>
        <w:pStyle w:val="TextBody"/>
        <w:bidi w:val="0"/>
        <w:spacing w:before="0" w:after="283"/>
        <w:jc w:val="start"/>
        <w:rPr/>
      </w:pPr>
      <w:r>
        <w:rPr/>
        <w:t xml:space="preserve">Internal rate of Return </w:t>
      </w:r>
    </w:p>
    <w:p>
      <w:pPr>
        <w:pStyle w:val="TextBody"/>
        <w:bidi w:val="0"/>
        <w:spacing w:before="0" w:after="283"/>
        <w:jc w:val="start"/>
        <w:rPr/>
      </w:pPr>
      <w:r>
        <w:rPr/>
        <w:t xml:space="preserve">It is the rate of return at which the net present value of the project is zero or in other words it is the rate at which present value of cash inflow is equal to the present value of cash inflows. The reason behind calling it the internal rate of return is because it doesn’t consider the external factors like inflation etc. while determining the rate of return (Cayon, et al., 2017). </w:t>
      </w:r>
    </w:p>
    <w:p>
      <w:pPr>
        <w:pStyle w:val="TextBody"/>
        <w:bidi w:val="0"/>
        <w:spacing w:before="0" w:after="283"/>
        <w:jc w:val="start"/>
        <w:rPr/>
      </w:pPr>
      <w:r>
        <w:rPr/>
        <w:t xml:space="preserve">Payback period </w:t>
      </w:r>
    </w:p>
    <w:p>
      <w:pPr>
        <w:pStyle w:val="TextBody"/>
        <w:bidi w:val="0"/>
        <w:spacing w:before="0" w:after="283"/>
        <w:jc w:val="start"/>
        <w:rPr/>
      </w:pPr>
      <w:r>
        <w:rPr/>
        <w:t xml:space="preserve">Under this method without taking into the time value of money in to the consideration, it tries to calculate the period which is required to recover the initial capital investment proposed to be made in a specific project. It does not consider the cash inflows generated after the payback period (Charles H, et al., 2015). </w:t>
      </w:r>
    </w:p>
    <w:p>
      <w:pPr>
        <w:pStyle w:val="TextBody"/>
        <w:numPr>
          <w:ilvl w:val="0"/>
          <w:numId w:val="2"/>
        </w:numPr>
        <w:tabs>
          <w:tab w:val="clear" w:pos="1134"/>
          <w:tab w:val="left" w:pos="709" w:leader="none"/>
        </w:tabs>
        <w:bidi w:val="0"/>
        <w:ind w:start="709" w:hanging="283"/>
        <w:jc w:val="start"/>
        <w:rPr/>
      </w:pPr>
      <w:r>
        <w:rPr/>
        <w:t xml:space="preserve">Computation of NPV of the Project Aspire </w:t>
      </w:r>
    </w:p>
    <w:p>
      <w:pPr>
        <w:pStyle w:val="TextBody"/>
        <w:bidi w:val="0"/>
        <w:jc w:val="start"/>
        <w:rPr/>
      </w:pPr>
      <w:r>
        <w:rPr/>
        <w:t xml:space="preserve">= Present value of cash inflow- Present value of cash outflow </w:t>
      </w:r>
    </w:p>
    <w:p>
      <w:pPr>
        <w:pStyle w:val="TextBody"/>
        <w:bidi w:val="0"/>
        <w:spacing w:before="0" w:after="283"/>
        <w:jc w:val="start"/>
        <w:rPr/>
      </w:pPr>
      <w:r>
        <w:rPr/>
        <w:t xml:space="preserve">=$818000/ (1. 1) ^1+$698000/ (1. 1) ^2+$677997/ (1. 1) ^3+$667309/ (1. 1) ^4+$653507/ (1. 1) ^5+$140000/ (1. 1) ^5+$375000/ (1. 1) ^5-$140000-$2250000 </w:t>
      </w:r>
    </w:p>
    <w:p>
      <w:pPr>
        <w:pStyle w:val="TextBody"/>
        <w:bidi w:val="0"/>
        <w:spacing w:before="0" w:after="283"/>
        <w:jc w:val="start"/>
        <w:rPr/>
      </w:pPr>
      <w:r>
        <w:rPr/>
        <w:t xml:space="preserve">=$3011487-$2390000 </w:t>
      </w:r>
    </w:p>
    <w:p>
      <w:pPr>
        <w:pStyle w:val="TextBody"/>
        <w:bidi w:val="0"/>
        <w:spacing w:before="0" w:after="283"/>
        <w:jc w:val="start"/>
        <w:rPr/>
      </w:pPr>
      <w:r>
        <w:rPr/>
        <w:t xml:space="preserve">=$621487 </w:t>
      </w:r>
    </w:p>
    <w:p>
      <w:pPr>
        <w:pStyle w:val="TextBody"/>
        <w:numPr>
          <w:ilvl w:val="0"/>
          <w:numId w:val="3"/>
        </w:numPr>
        <w:tabs>
          <w:tab w:val="clear" w:pos="1134"/>
          <w:tab w:val="left" w:pos="709" w:leader="none"/>
        </w:tabs>
        <w:bidi w:val="0"/>
        <w:ind w:start="709" w:hanging="283"/>
        <w:jc w:val="start"/>
        <w:rPr/>
      </w:pPr>
      <w:r>
        <w:rPr/>
        <w:t xml:space="preserve">Computation of NPV of the Project Wolf </w:t>
      </w:r>
    </w:p>
    <w:p>
      <w:pPr>
        <w:pStyle w:val="TextBody"/>
        <w:bidi w:val="0"/>
        <w:jc w:val="start"/>
        <w:rPr/>
      </w:pPr>
      <w:r>
        <w:rPr/>
        <w:t xml:space="preserve">= Present value of cash inflow- Present value of cash outflow </w:t>
      </w:r>
    </w:p>
    <w:p>
      <w:pPr>
        <w:pStyle w:val="TextBody"/>
        <w:bidi w:val="0"/>
        <w:spacing w:before="0" w:after="283"/>
        <w:jc w:val="start"/>
        <w:rPr/>
      </w:pPr>
      <w:r>
        <w:rPr/>
        <w:t xml:space="preserve">=$83300/(1. 1)^1+$648700/(1. 1)^2+$647511/(1. 1)^3+$646524/(1. 1)^4+$645461/(1. 1)^5-$2250000-$75000/(1. 1)^1-75000/(1. 1)^2-75000/(1. 1)^3-75000/(1. 1)^4-75000/(1. 1)^5 </w:t>
      </w:r>
    </w:p>
    <w:p>
      <w:pPr>
        <w:pStyle w:val="TextBody"/>
        <w:bidi w:val="0"/>
        <w:spacing w:before="0" w:after="283"/>
        <w:jc w:val="start"/>
        <w:rPr/>
      </w:pPr>
      <w:r>
        <w:rPr/>
        <w:t xml:space="preserve">=$2622238-$2534309 </w:t>
      </w:r>
    </w:p>
    <w:p>
      <w:pPr>
        <w:pStyle w:val="TextBody"/>
        <w:bidi w:val="0"/>
        <w:spacing w:before="0" w:after="283"/>
        <w:jc w:val="start"/>
        <w:rPr/>
      </w:pPr>
      <w:r>
        <w:rPr/>
        <w:t xml:space="preserve">=$87929 </w:t>
      </w:r>
    </w:p>
    <w:p>
      <w:pPr>
        <w:pStyle w:val="TextBody"/>
        <w:numPr>
          <w:ilvl w:val="0"/>
          <w:numId w:val="4"/>
        </w:numPr>
        <w:tabs>
          <w:tab w:val="clear" w:pos="1134"/>
          <w:tab w:val="left" w:pos="709" w:leader="none"/>
        </w:tabs>
        <w:bidi w:val="0"/>
        <w:ind w:start="709" w:hanging="283"/>
        <w:jc w:val="start"/>
        <w:rPr/>
      </w:pPr>
      <w:r>
        <w:rPr/>
        <w:t xml:space="preserve">Computation of internal rate of return of Project Aspire </w:t>
      </w:r>
    </w:p>
    <w:p>
      <w:pPr>
        <w:pStyle w:val="TextBody"/>
        <w:bidi w:val="0"/>
        <w:jc w:val="start"/>
        <w:rPr/>
      </w:pPr>
      <w:r>
        <w:rPr/>
        <w:t xml:space="preserve">Internal rate of return of the project is that rate at which present value of cash inflow is equal to present value of cash outflow </w:t>
      </w:r>
    </w:p>
    <w:p>
      <w:pPr>
        <w:pStyle w:val="TextBody"/>
        <w:bidi w:val="0"/>
        <w:spacing w:before="0" w:after="283"/>
        <w:jc w:val="start"/>
        <w:rPr/>
      </w:pPr>
      <w:r>
        <w:rPr/>
        <w:t xml:space="preserve">Froom the above, </w:t>
      </w:r>
    </w:p>
    <w:p>
      <w:pPr>
        <w:pStyle w:val="TextBody"/>
        <w:bidi w:val="0"/>
        <w:spacing w:before="0" w:after="283"/>
        <w:jc w:val="start"/>
        <w:rPr/>
      </w:pPr>
      <w:r>
        <w:rPr/>
        <w:t xml:space="preserve">10%=$621487, Rate 1 = 10%, NPV1 </w:t>
      </w:r>
    </w:p>
    <w:p>
      <w:pPr>
        <w:pStyle w:val="TextBody"/>
        <w:bidi w:val="0"/>
        <w:spacing w:before="0" w:after="283"/>
        <w:jc w:val="start"/>
        <w:rPr/>
      </w:pPr>
      <w:r>
        <w:rPr/>
        <w:t xml:space="preserve">X% =$2390000 </w:t>
      </w:r>
    </w:p>
    <w:p>
      <w:pPr>
        <w:pStyle w:val="TextBody"/>
        <w:bidi w:val="0"/>
        <w:spacing w:before="0" w:after="283"/>
        <w:jc w:val="start"/>
        <w:rPr/>
      </w:pPr>
      <w:r>
        <w:rPr/>
        <w:t xml:space="preserve">Taking discount rate 20%, Rate 2 </w:t>
      </w:r>
    </w:p>
    <w:p>
      <w:pPr>
        <w:pStyle w:val="TextBody"/>
        <w:bidi w:val="0"/>
        <w:spacing w:before="0" w:after="283"/>
        <w:jc w:val="start"/>
        <w:rPr/>
      </w:pPr>
      <w:r>
        <w:rPr/>
        <w:t xml:space="preserve">NPV 2=$-39616 </w:t>
      </w:r>
    </w:p>
    <w:p>
      <w:pPr>
        <w:pStyle w:val="TextBody"/>
        <w:bidi w:val="0"/>
        <w:spacing w:before="0" w:after="283"/>
        <w:jc w:val="start"/>
        <w:rPr/>
      </w:pPr>
      <w:r>
        <w:rPr/>
        <w:t xml:space="preserve">IRR= Rate 1+NPV 1(Rate 2 -Rate 1)/NPV1-NPV2 </w:t>
      </w:r>
    </w:p>
    <w:p>
      <w:pPr>
        <w:pStyle w:val="TextBody"/>
        <w:bidi w:val="0"/>
        <w:spacing w:before="0" w:after="283"/>
        <w:jc w:val="start"/>
        <w:rPr/>
      </w:pPr>
      <w:r>
        <w:rPr/>
        <w:t xml:space="preserve">= 10%+$621487(20%-10%)/$621487-(-$39616) </w:t>
      </w:r>
    </w:p>
    <w:p>
      <w:pPr>
        <w:pStyle w:val="TextBody"/>
        <w:bidi w:val="0"/>
        <w:spacing w:before="0" w:after="283"/>
        <w:jc w:val="start"/>
        <w:rPr/>
      </w:pPr>
      <w:r>
        <w:rPr/>
        <w:t xml:space="preserve">= 10%+$62148. 7/$661103 </w:t>
      </w:r>
    </w:p>
    <w:p>
      <w:pPr>
        <w:pStyle w:val="TextBody"/>
        <w:bidi w:val="0"/>
        <w:spacing w:before="0" w:after="283"/>
        <w:jc w:val="start"/>
        <w:rPr/>
      </w:pPr>
      <w:r>
        <w:rPr/>
        <w:t xml:space="preserve">= 10%+9. 40% </w:t>
      </w:r>
    </w:p>
    <w:p>
      <w:pPr>
        <w:pStyle w:val="TextBody"/>
        <w:bidi w:val="0"/>
        <w:spacing w:before="0" w:after="283"/>
        <w:jc w:val="start"/>
        <w:rPr/>
      </w:pPr>
      <w:r>
        <w:rPr/>
        <w:t xml:space="preserve">= 19. 40% </w:t>
      </w:r>
    </w:p>
    <w:p>
      <w:pPr>
        <w:pStyle w:val="TextBody"/>
        <w:numPr>
          <w:ilvl w:val="0"/>
          <w:numId w:val="5"/>
        </w:numPr>
        <w:tabs>
          <w:tab w:val="clear" w:pos="1134"/>
          <w:tab w:val="left" w:pos="709" w:leader="none"/>
        </w:tabs>
        <w:bidi w:val="0"/>
        <w:ind w:start="709" w:hanging="283"/>
        <w:jc w:val="start"/>
        <w:rPr/>
      </w:pPr>
      <w:r>
        <w:rPr/>
        <w:t xml:space="preserve">Computation of internal rate of return of Project Wolf </w:t>
      </w:r>
    </w:p>
    <w:p>
      <w:pPr>
        <w:pStyle w:val="TextBody"/>
        <w:bidi w:val="0"/>
        <w:jc w:val="start"/>
        <w:rPr/>
      </w:pPr>
      <w:r>
        <w:rPr/>
        <w:t xml:space="preserve">From the above, </w:t>
      </w:r>
    </w:p>
    <w:p>
      <w:pPr>
        <w:pStyle w:val="TextBody"/>
        <w:bidi w:val="0"/>
        <w:spacing w:before="0" w:after="283"/>
        <w:jc w:val="start"/>
        <w:rPr/>
      </w:pPr>
      <w:r>
        <w:rPr/>
        <w:t xml:space="preserve">Rate 1= 10%=$87929(NPV1) </w:t>
      </w:r>
    </w:p>
    <w:p>
      <w:pPr>
        <w:pStyle w:val="TextBody"/>
        <w:bidi w:val="0"/>
        <w:spacing w:before="0" w:after="283"/>
        <w:jc w:val="start"/>
        <w:rPr/>
      </w:pPr>
      <w:r>
        <w:rPr/>
        <w:t xml:space="preserve">Rate2 (taken 20%) </w:t>
      </w:r>
    </w:p>
    <w:p>
      <w:pPr>
        <w:pStyle w:val="TextBody"/>
        <w:bidi w:val="0"/>
        <w:spacing w:before="0" w:after="283"/>
        <w:jc w:val="start"/>
        <w:rPr/>
      </w:pPr>
      <w:r>
        <w:rPr/>
        <w:t xml:space="preserve">NPV = $-383742 </w:t>
      </w:r>
    </w:p>
    <w:p>
      <w:pPr>
        <w:pStyle w:val="TextBody"/>
        <w:bidi w:val="0"/>
        <w:spacing w:before="0" w:after="283"/>
        <w:jc w:val="start"/>
        <w:rPr/>
      </w:pPr>
      <w:r>
        <w:rPr/>
        <w:t xml:space="preserve">IRR= Rate 1+NPV 1(Rate 2 -Rate 1)/NPV1-NPV2 </w:t>
      </w:r>
    </w:p>
    <w:p>
      <w:pPr>
        <w:pStyle w:val="TextBody"/>
        <w:bidi w:val="0"/>
        <w:spacing w:before="0" w:after="283"/>
        <w:jc w:val="start"/>
        <w:rPr/>
      </w:pPr>
      <w:r>
        <w:rPr/>
        <w:t xml:space="preserve">= 10%+$87929(20%-10%)/$87929-(-$383742) </w:t>
      </w:r>
    </w:p>
    <w:p>
      <w:pPr>
        <w:pStyle w:val="TextBody"/>
        <w:bidi w:val="0"/>
        <w:spacing w:before="0" w:after="283"/>
        <w:jc w:val="start"/>
        <w:rPr/>
      </w:pPr>
      <w:r>
        <w:rPr/>
        <w:t xml:space="preserve">= 10%+$8792. 9/$471671 </w:t>
      </w:r>
    </w:p>
    <w:p>
      <w:pPr>
        <w:pStyle w:val="TextBody"/>
        <w:bidi w:val="0"/>
        <w:spacing w:before="0" w:after="283"/>
        <w:jc w:val="start"/>
        <w:rPr/>
      </w:pPr>
      <w:r>
        <w:rPr/>
        <w:t xml:space="preserve">= 10%+1. 86% </w:t>
      </w:r>
    </w:p>
    <w:p>
      <w:pPr>
        <w:pStyle w:val="TextBody"/>
        <w:bidi w:val="0"/>
        <w:spacing w:before="0" w:after="283"/>
        <w:jc w:val="start"/>
        <w:rPr/>
      </w:pPr>
      <w:r>
        <w:rPr/>
        <w:t xml:space="preserve">= 11. 86% </w:t>
      </w:r>
    </w:p>
    <w:p>
      <w:pPr>
        <w:pStyle w:val="TextBody"/>
        <w:numPr>
          <w:ilvl w:val="0"/>
          <w:numId w:val="6"/>
        </w:numPr>
        <w:tabs>
          <w:tab w:val="clear" w:pos="1134"/>
          <w:tab w:val="left" w:pos="709" w:leader="none"/>
        </w:tabs>
        <w:bidi w:val="0"/>
        <w:ind w:start="709" w:hanging="283"/>
        <w:jc w:val="start"/>
        <w:rPr/>
      </w:pPr>
      <w:r>
        <w:rPr/>
        <w:t xml:space="preserve">Payback period for the project Aspire </w:t>
      </w:r>
    </w:p>
    <w:p>
      <w:pPr>
        <w:pStyle w:val="TextBody"/>
        <w:bidi w:val="0"/>
        <w:jc w:val="start"/>
        <w:rPr/>
      </w:pPr>
      <w:r>
        <w:rPr/>
        <w:t xml:space="preserve">Total initial investment = $2390000 </w:t>
      </w:r>
    </w:p>
    <w:tbl>
      <w:tblPr>
        <w:tblW w:w="4608" w:type="dxa"/>
        <w:jc w:val="start"/>
        <w:tblInd w:w="0" w:type="dxa"/>
        <w:tblLayout w:type="fixed"/>
        <w:tblCellMar>
          <w:top w:w="28" w:type="dxa"/>
          <w:start w:w="28" w:type="dxa"/>
          <w:bottom w:w="28" w:type="dxa"/>
          <w:end w:w="28" w:type="dxa"/>
        </w:tblCellMar>
      </w:tblPr>
      <w:tblGrid>
        <w:gridCol w:w="646"/>
        <w:gridCol w:w="1411"/>
        <w:gridCol w:w="2551"/>
      </w:tblGrid>
      <w:tr>
        <w:trPr/>
        <w:tc>
          <w:tcPr>
            <w:tcW w:w="646" w:type="dxa"/>
            <w:tcBorders/>
            <w:vAlign w:val="center"/>
          </w:tcPr>
          <w:p>
            <w:pPr>
              <w:pStyle w:val="TableContents"/>
              <w:bidi w:val="0"/>
              <w:spacing w:before="0" w:after="283"/>
              <w:jc w:val="start"/>
              <w:rPr/>
            </w:pPr>
            <w:r>
              <w:rPr/>
              <w:t xml:space="preserve">Year </w:t>
            </w:r>
          </w:p>
        </w:tc>
        <w:tc>
          <w:tcPr>
            <w:tcW w:w="1411" w:type="dxa"/>
            <w:tcBorders/>
            <w:vAlign w:val="center"/>
          </w:tcPr>
          <w:p>
            <w:pPr>
              <w:pStyle w:val="TableContents"/>
              <w:bidi w:val="0"/>
              <w:spacing w:before="0" w:after="283"/>
              <w:jc w:val="start"/>
              <w:rPr/>
            </w:pPr>
            <w:r>
              <w:rPr/>
              <w:t xml:space="preserve">Cash inflows </w:t>
            </w:r>
          </w:p>
        </w:tc>
        <w:tc>
          <w:tcPr>
            <w:tcW w:w="2551" w:type="dxa"/>
            <w:tcBorders/>
            <w:vAlign w:val="center"/>
          </w:tcPr>
          <w:p>
            <w:pPr>
              <w:pStyle w:val="TableContents"/>
              <w:bidi w:val="0"/>
              <w:spacing w:before="0" w:after="283"/>
              <w:jc w:val="start"/>
              <w:rPr/>
            </w:pPr>
            <w:r>
              <w:rPr/>
              <w:t xml:space="preserve">Cumulative cash inflows </w:t>
            </w:r>
          </w:p>
        </w:tc>
      </w:tr>
      <w:tr>
        <w:trPr/>
        <w:tc>
          <w:tcPr>
            <w:tcW w:w="646" w:type="dxa"/>
            <w:tcBorders/>
            <w:vAlign w:val="center"/>
          </w:tcPr>
          <w:p>
            <w:pPr>
              <w:pStyle w:val="TableContents"/>
              <w:bidi w:val="0"/>
              <w:spacing w:before="0" w:after="283"/>
              <w:jc w:val="start"/>
              <w:rPr/>
            </w:pPr>
            <w:r>
              <w:rPr/>
              <w:t xml:space="preserve">1 </w:t>
            </w:r>
          </w:p>
        </w:tc>
        <w:tc>
          <w:tcPr>
            <w:tcW w:w="1411" w:type="dxa"/>
            <w:tcBorders/>
            <w:vAlign w:val="center"/>
          </w:tcPr>
          <w:p>
            <w:pPr>
              <w:pStyle w:val="TableContents"/>
              <w:bidi w:val="0"/>
              <w:spacing w:before="0" w:after="283"/>
              <w:jc w:val="start"/>
              <w:rPr/>
            </w:pPr>
            <w:r>
              <w:rPr/>
              <w:t xml:space="preserve">818000 </w:t>
            </w:r>
          </w:p>
        </w:tc>
        <w:tc>
          <w:tcPr>
            <w:tcW w:w="2551" w:type="dxa"/>
            <w:tcBorders/>
            <w:vAlign w:val="center"/>
          </w:tcPr>
          <w:p>
            <w:pPr>
              <w:pStyle w:val="TableContents"/>
              <w:bidi w:val="0"/>
              <w:spacing w:before="0" w:after="283"/>
              <w:jc w:val="start"/>
              <w:rPr/>
            </w:pPr>
            <w:r>
              <w:rPr/>
              <w:t xml:space="preserve">818000 </w:t>
            </w:r>
          </w:p>
        </w:tc>
      </w:tr>
      <w:tr>
        <w:trPr/>
        <w:tc>
          <w:tcPr>
            <w:tcW w:w="646" w:type="dxa"/>
            <w:tcBorders/>
            <w:vAlign w:val="center"/>
          </w:tcPr>
          <w:p>
            <w:pPr>
              <w:pStyle w:val="TableContents"/>
              <w:bidi w:val="0"/>
              <w:spacing w:before="0" w:after="283"/>
              <w:jc w:val="start"/>
              <w:rPr/>
            </w:pPr>
            <w:r>
              <w:rPr/>
              <w:t xml:space="preserve">2 </w:t>
            </w:r>
          </w:p>
        </w:tc>
        <w:tc>
          <w:tcPr>
            <w:tcW w:w="1411" w:type="dxa"/>
            <w:tcBorders/>
            <w:vAlign w:val="center"/>
          </w:tcPr>
          <w:p>
            <w:pPr>
              <w:pStyle w:val="TableContents"/>
              <w:bidi w:val="0"/>
              <w:spacing w:before="0" w:after="283"/>
              <w:jc w:val="start"/>
              <w:rPr/>
            </w:pPr>
            <w:r>
              <w:rPr/>
              <w:t xml:space="preserve">698000 </w:t>
            </w:r>
          </w:p>
        </w:tc>
        <w:tc>
          <w:tcPr>
            <w:tcW w:w="2551" w:type="dxa"/>
            <w:tcBorders/>
            <w:vAlign w:val="center"/>
          </w:tcPr>
          <w:p>
            <w:pPr>
              <w:pStyle w:val="TableContents"/>
              <w:bidi w:val="0"/>
              <w:spacing w:before="0" w:after="283"/>
              <w:jc w:val="start"/>
              <w:rPr/>
            </w:pPr>
            <w:r>
              <w:rPr/>
              <w:t xml:space="preserve">1516000 </w:t>
            </w:r>
          </w:p>
        </w:tc>
      </w:tr>
      <w:tr>
        <w:trPr/>
        <w:tc>
          <w:tcPr>
            <w:tcW w:w="646" w:type="dxa"/>
            <w:tcBorders/>
            <w:vAlign w:val="center"/>
          </w:tcPr>
          <w:p>
            <w:pPr>
              <w:pStyle w:val="TableContents"/>
              <w:bidi w:val="0"/>
              <w:spacing w:before="0" w:after="283"/>
              <w:jc w:val="start"/>
              <w:rPr/>
            </w:pPr>
            <w:r>
              <w:rPr/>
              <w:t xml:space="preserve">3 </w:t>
            </w:r>
          </w:p>
        </w:tc>
        <w:tc>
          <w:tcPr>
            <w:tcW w:w="1411" w:type="dxa"/>
            <w:tcBorders/>
            <w:vAlign w:val="center"/>
          </w:tcPr>
          <w:p>
            <w:pPr>
              <w:pStyle w:val="TableContents"/>
              <w:bidi w:val="0"/>
              <w:spacing w:before="0" w:after="283"/>
              <w:jc w:val="start"/>
              <w:rPr/>
            </w:pPr>
            <w:r>
              <w:rPr/>
              <w:t xml:space="preserve">677997 </w:t>
            </w:r>
          </w:p>
        </w:tc>
        <w:tc>
          <w:tcPr>
            <w:tcW w:w="2551" w:type="dxa"/>
            <w:tcBorders/>
            <w:vAlign w:val="center"/>
          </w:tcPr>
          <w:p>
            <w:pPr>
              <w:pStyle w:val="TableContents"/>
              <w:bidi w:val="0"/>
              <w:spacing w:before="0" w:after="283"/>
              <w:jc w:val="start"/>
              <w:rPr/>
            </w:pPr>
            <w:r>
              <w:rPr/>
              <w:t xml:space="preserve">2193997 </w:t>
            </w:r>
          </w:p>
        </w:tc>
      </w:tr>
      <w:tr>
        <w:trPr/>
        <w:tc>
          <w:tcPr>
            <w:tcW w:w="646" w:type="dxa"/>
            <w:tcBorders/>
            <w:vAlign w:val="center"/>
          </w:tcPr>
          <w:p>
            <w:pPr>
              <w:pStyle w:val="TableContents"/>
              <w:bidi w:val="0"/>
              <w:spacing w:before="0" w:after="283"/>
              <w:jc w:val="start"/>
              <w:rPr/>
            </w:pPr>
            <w:r>
              <w:rPr/>
              <w:t xml:space="preserve">4 </w:t>
            </w:r>
          </w:p>
        </w:tc>
        <w:tc>
          <w:tcPr>
            <w:tcW w:w="1411" w:type="dxa"/>
            <w:tcBorders/>
            <w:vAlign w:val="center"/>
          </w:tcPr>
          <w:p>
            <w:pPr>
              <w:pStyle w:val="TableContents"/>
              <w:bidi w:val="0"/>
              <w:spacing w:before="0" w:after="283"/>
              <w:jc w:val="start"/>
              <w:rPr/>
            </w:pPr>
            <w:r>
              <w:rPr/>
              <w:t xml:space="preserve">667309 </w:t>
            </w:r>
          </w:p>
        </w:tc>
        <w:tc>
          <w:tcPr>
            <w:tcW w:w="2551" w:type="dxa"/>
            <w:tcBorders/>
            <w:vAlign w:val="center"/>
          </w:tcPr>
          <w:p>
            <w:pPr>
              <w:pStyle w:val="TableContents"/>
              <w:bidi w:val="0"/>
              <w:spacing w:before="0" w:after="283"/>
              <w:jc w:val="start"/>
              <w:rPr/>
            </w:pPr>
            <w:r>
              <w:rPr/>
              <w:t xml:space="preserve">2861306 </w:t>
            </w:r>
          </w:p>
        </w:tc>
      </w:tr>
      <w:tr>
        <w:trPr/>
        <w:tc>
          <w:tcPr>
            <w:tcW w:w="646" w:type="dxa"/>
            <w:tcBorders/>
            <w:vAlign w:val="center"/>
          </w:tcPr>
          <w:p>
            <w:pPr>
              <w:pStyle w:val="TableContents"/>
              <w:bidi w:val="0"/>
              <w:spacing w:before="0" w:after="283"/>
              <w:jc w:val="start"/>
              <w:rPr/>
            </w:pPr>
            <w:r>
              <w:rPr/>
              <w:t xml:space="preserve">5 </w:t>
            </w:r>
          </w:p>
        </w:tc>
        <w:tc>
          <w:tcPr>
            <w:tcW w:w="1411" w:type="dxa"/>
            <w:tcBorders/>
            <w:vAlign w:val="center"/>
          </w:tcPr>
          <w:p>
            <w:pPr>
              <w:pStyle w:val="TableContents"/>
              <w:bidi w:val="0"/>
              <w:spacing w:before="0" w:after="283"/>
              <w:jc w:val="start"/>
              <w:rPr/>
            </w:pPr>
            <w:r>
              <w:rPr/>
              <w:t xml:space="preserve">1168507 </w:t>
            </w:r>
          </w:p>
        </w:tc>
        <w:tc>
          <w:tcPr>
            <w:tcW w:w="2551" w:type="dxa"/>
            <w:tcBorders/>
            <w:vAlign w:val="center"/>
          </w:tcPr>
          <w:p>
            <w:pPr>
              <w:pStyle w:val="TableContents"/>
              <w:bidi w:val="0"/>
              <w:spacing w:before="0" w:after="283"/>
              <w:jc w:val="start"/>
              <w:rPr/>
            </w:pPr>
            <w:r>
              <w:rPr/>
              <w:t xml:space="preserve">4029813 </w:t>
            </w:r>
          </w:p>
        </w:tc>
      </w:tr>
    </w:tbl>
    <w:p>
      <w:pPr>
        <w:pStyle w:val="TextBody"/>
        <w:bidi w:val="0"/>
        <w:spacing w:before="0" w:after="283"/>
        <w:jc w:val="start"/>
        <w:rPr/>
      </w:pPr>
      <w:r>
        <w:rPr/>
        <w:t xml:space="preserve">Payback period = 3 years+2390000-2193997/667309*12 </w:t>
      </w:r>
    </w:p>
    <w:p>
      <w:pPr>
        <w:pStyle w:val="TextBody"/>
        <w:bidi w:val="0"/>
        <w:spacing w:before="0" w:after="283"/>
        <w:jc w:val="start"/>
        <w:rPr/>
      </w:pPr>
      <w:r>
        <w:rPr/>
        <w:t xml:space="preserve">= 3. 29 Years </w:t>
      </w:r>
    </w:p>
    <w:p>
      <w:pPr>
        <w:pStyle w:val="TextBody"/>
        <w:numPr>
          <w:ilvl w:val="0"/>
          <w:numId w:val="7"/>
        </w:numPr>
        <w:tabs>
          <w:tab w:val="clear" w:pos="1134"/>
          <w:tab w:val="left" w:pos="709" w:leader="none"/>
        </w:tabs>
        <w:bidi w:val="0"/>
        <w:ind w:start="709" w:hanging="283"/>
        <w:jc w:val="start"/>
        <w:rPr/>
      </w:pPr>
      <w:r>
        <w:rPr/>
        <w:t xml:space="preserve">Payback period for the project Wolf </w:t>
      </w:r>
    </w:p>
    <w:p>
      <w:pPr>
        <w:pStyle w:val="TextBody"/>
        <w:bidi w:val="0"/>
        <w:jc w:val="start"/>
        <w:rPr/>
      </w:pPr>
      <w:r>
        <w:rPr/>
        <w:t xml:space="preserve">Total initial investment= $22500000 </w:t>
      </w:r>
    </w:p>
    <w:tbl>
      <w:tblPr>
        <w:tblW w:w="4608" w:type="dxa"/>
        <w:jc w:val="start"/>
        <w:tblInd w:w="0" w:type="dxa"/>
        <w:tblLayout w:type="fixed"/>
        <w:tblCellMar>
          <w:top w:w="28" w:type="dxa"/>
          <w:start w:w="28" w:type="dxa"/>
          <w:bottom w:w="28" w:type="dxa"/>
          <w:end w:w="28" w:type="dxa"/>
        </w:tblCellMar>
      </w:tblPr>
      <w:tblGrid>
        <w:gridCol w:w="646"/>
        <w:gridCol w:w="1411"/>
        <w:gridCol w:w="2551"/>
      </w:tblGrid>
      <w:tr>
        <w:trPr/>
        <w:tc>
          <w:tcPr>
            <w:tcW w:w="646" w:type="dxa"/>
            <w:tcBorders/>
            <w:vAlign w:val="center"/>
          </w:tcPr>
          <w:p>
            <w:pPr>
              <w:pStyle w:val="TableContents"/>
              <w:bidi w:val="0"/>
              <w:spacing w:before="0" w:after="283"/>
              <w:jc w:val="start"/>
              <w:rPr/>
            </w:pPr>
            <w:r>
              <w:rPr/>
              <w:t xml:space="preserve">Year </w:t>
            </w:r>
          </w:p>
        </w:tc>
        <w:tc>
          <w:tcPr>
            <w:tcW w:w="1411" w:type="dxa"/>
            <w:tcBorders/>
            <w:vAlign w:val="center"/>
          </w:tcPr>
          <w:p>
            <w:pPr>
              <w:pStyle w:val="TableContents"/>
              <w:bidi w:val="0"/>
              <w:spacing w:before="0" w:after="283"/>
              <w:jc w:val="start"/>
              <w:rPr/>
            </w:pPr>
            <w:r>
              <w:rPr/>
              <w:t xml:space="preserve">Cash inflows </w:t>
            </w:r>
          </w:p>
        </w:tc>
        <w:tc>
          <w:tcPr>
            <w:tcW w:w="2551" w:type="dxa"/>
            <w:tcBorders/>
            <w:vAlign w:val="center"/>
          </w:tcPr>
          <w:p>
            <w:pPr>
              <w:pStyle w:val="TableContents"/>
              <w:bidi w:val="0"/>
              <w:spacing w:before="0" w:after="283"/>
              <w:jc w:val="start"/>
              <w:rPr/>
            </w:pPr>
            <w:r>
              <w:rPr/>
              <w:t xml:space="preserve">Cumulative cash inflows </w:t>
            </w:r>
          </w:p>
        </w:tc>
      </w:tr>
      <w:tr>
        <w:trPr/>
        <w:tc>
          <w:tcPr>
            <w:tcW w:w="646" w:type="dxa"/>
            <w:tcBorders/>
            <w:vAlign w:val="center"/>
          </w:tcPr>
          <w:p>
            <w:pPr>
              <w:pStyle w:val="TableContents"/>
              <w:bidi w:val="0"/>
              <w:spacing w:before="0" w:after="283"/>
              <w:jc w:val="start"/>
              <w:rPr/>
            </w:pPr>
            <w:r>
              <w:rPr/>
              <w:t xml:space="preserve">1 </w:t>
            </w:r>
          </w:p>
        </w:tc>
        <w:tc>
          <w:tcPr>
            <w:tcW w:w="1411" w:type="dxa"/>
            <w:tcBorders/>
            <w:vAlign w:val="center"/>
          </w:tcPr>
          <w:p>
            <w:pPr>
              <w:pStyle w:val="TableContents"/>
              <w:bidi w:val="0"/>
              <w:spacing w:before="0" w:after="283"/>
              <w:jc w:val="start"/>
              <w:rPr/>
            </w:pPr>
            <w:r>
              <w:rPr/>
              <w:t xml:space="preserve">818000 </w:t>
            </w:r>
          </w:p>
        </w:tc>
        <w:tc>
          <w:tcPr>
            <w:tcW w:w="2551" w:type="dxa"/>
            <w:tcBorders/>
            <w:vAlign w:val="center"/>
          </w:tcPr>
          <w:p>
            <w:pPr>
              <w:pStyle w:val="TableContents"/>
              <w:bidi w:val="0"/>
              <w:spacing w:before="0" w:after="283"/>
              <w:jc w:val="start"/>
              <w:rPr/>
            </w:pPr>
            <w:r>
              <w:rPr/>
              <w:t xml:space="preserve">818000 </w:t>
            </w:r>
          </w:p>
        </w:tc>
      </w:tr>
      <w:tr>
        <w:trPr/>
        <w:tc>
          <w:tcPr>
            <w:tcW w:w="646" w:type="dxa"/>
            <w:tcBorders/>
            <w:vAlign w:val="center"/>
          </w:tcPr>
          <w:p>
            <w:pPr>
              <w:pStyle w:val="TableContents"/>
              <w:bidi w:val="0"/>
              <w:spacing w:before="0" w:after="283"/>
              <w:jc w:val="start"/>
              <w:rPr/>
            </w:pPr>
            <w:r>
              <w:rPr/>
              <w:t xml:space="preserve">2 </w:t>
            </w:r>
          </w:p>
        </w:tc>
        <w:tc>
          <w:tcPr>
            <w:tcW w:w="1411" w:type="dxa"/>
            <w:tcBorders/>
            <w:vAlign w:val="center"/>
          </w:tcPr>
          <w:p>
            <w:pPr>
              <w:pStyle w:val="TableContents"/>
              <w:bidi w:val="0"/>
              <w:spacing w:before="0" w:after="283"/>
              <w:jc w:val="start"/>
              <w:rPr/>
            </w:pPr>
            <w:r>
              <w:rPr/>
              <w:t xml:space="preserve">698000 </w:t>
            </w:r>
          </w:p>
        </w:tc>
        <w:tc>
          <w:tcPr>
            <w:tcW w:w="2551" w:type="dxa"/>
            <w:tcBorders/>
            <w:vAlign w:val="center"/>
          </w:tcPr>
          <w:p>
            <w:pPr>
              <w:pStyle w:val="TableContents"/>
              <w:bidi w:val="0"/>
              <w:spacing w:before="0" w:after="283"/>
              <w:jc w:val="start"/>
              <w:rPr/>
            </w:pPr>
            <w:r>
              <w:rPr/>
              <w:t xml:space="preserve">1516000 </w:t>
            </w:r>
          </w:p>
        </w:tc>
      </w:tr>
      <w:tr>
        <w:trPr/>
        <w:tc>
          <w:tcPr>
            <w:tcW w:w="646" w:type="dxa"/>
            <w:tcBorders/>
            <w:vAlign w:val="center"/>
          </w:tcPr>
          <w:p>
            <w:pPr>
              <w:pStyle w:val="TableContents"/>
              <w:bidi w:val="0"/>
              <w:spacing w:before="0" w:after="283"/>
              <w:jc w:val="start"/>
              <w:rPr/>
            </w:pPr>
            <w:r>
              <w:rPr/>
              <w:t xml:space="preserve">3 </w:t>
            </w:r>
          </w:p>
        </w:tc>
        <w:tc>
          <w:tcPr>
            <w:tcW w:w="1411" w:type="dxa"/>
            <w:tcBorders/>
            <w:vAlign w:val="center"/>
          </w:tcPr>
          <w:p>
            <w:pPr>
              <w:pStyle w:val="TableContents"/>
              <w:bidi w:val="0"/>
              <w:spacing w:before="0" w:after="283"/>
              <w:jc w:val="start"/>
              <w:rPr/>
            </w:pPr>
            <w:r>
              <w:rPr/>
              <w:t xml:space="preserve">677997 </w:t>
            </w:r>
          </w:p>
        </w:tc>
        <w:tc>
          <w:tcPr>
            <w:tcW w:w="2551" w:type="dxa"/>
            <w:tcBorders/>
            <w:vAlign w:val="center"/>
          </w:tcPr>
          <w:p>
            <w:pPr>
              <w:pStyle w:val="TableContents"/>
              <w:bidi w:val="0"/>
              <w:spacing w:before="0" w:after="283"/>
              <w:jc w:val="start"/>
              <w:rPr/>
            </w:pPr>
            <w:r>
              <w:rPr/>
              <w:t xml:space="preserve">2193997 </w:t>
            </w:r>
          </w:p>
        </w:tc>
      </w:tr>
      <w:tr>
        <w:trPr/>
        <w:tc>
          <w:tcPr>
            <w:tcW w:w="646" w:type="dxa"/>
            <w:tcBorders/>
            <w:vAlign w:val="center"/>
          </w:tcPr>
          <w:p>
            <w:pPr>
              <w:pStyle w:val="TableContents"/>
              <w:bidi w:val="0"/>
              <w:spacing w:before="0" w:after="283"/>
              <w:jc w:val="start"/>
              <w:rPr/>
            </w:pPr>
            <w:r>
              <w:rPr/>
              <w:t xml:space="preserve">4 </w:t>
            </w:r>
          </w:p>
        </w:tc>
        <w:tc>
          <w:tcPr>
            <w:tcW w:w="1411" w:type="dxa"/>
            <w:tcBorders/>
            <w:vAlign w:val="center"/>
          </w:tcPr>
          <w:p>
            <w:pPr>
              <w:pStyle w:val="TableContents"/>
              <w:bidi w:val="0"/>
              <w:spacing w:before="0" w:after="283"/>
              <w:jc w:val="start"/>
              <w:rPr/>
            </w:pPr>
            <w:r>
              <w:rPr/>
              <w:t xml:space="preserve">667309 </w:t>
            </w:r>
          </w:p>
        </w:tc>
        <w:tc>
          <w:tcPr>
            <w:tcW w:w="2551" w:type="dxa"/>
            <w:tcBorders/>
            <w:vAlign w:val="center"/>
          </w:tcPr>
          <w:p>
            <w:pPr>
              <w:pStyle w:val="TableContents"/>
              <w:bidi w:val="0"/>
              <w:spacing w:before="0" w:after="283"/>
              <w:jc w:val="start"/>
              <w:rPr/>
            </w:pPr>
            <w:r>
              <w:rPr/>
              <w:t xml:space="preserve">2861306 </w:t>
            </w:r>
          </w:p>
        </w:tc>
      </w:tr>
      <w:tr>
        <w:trPr/>
        <w:tc>
          <w:tcPr>
            <w:tcW w:w="646" w:type="dxa"/>
            <w:tcBorders/>
            <w:vAlign w:val="center"/>
          </w:tcPr>
          <w:p>
            <w:pPr>
              <w:pStyle w:val="TableContents"/>
              <w:bidi w:val="0"/>
              <w:spacing w:before="0" w:after="283"/>
              <w:jc w:val="start"/>
              <w:rPr/>
            </w:pPr>
            <w:r>
              <w:rPr/>
              <w:t xml:space="preserve">5 </w:t>
            </w:r>
          </w:p>
        </w:tc>
        <w:tc>
          <w:tcPr>
            <w:tcW w:w="1411" w:type="dxa"/>
            <w:tcBorders/>
            <w:vAlign w:val="center"/>
          </w:tcPr>
          <w:p>
            <w:pPr>
              <w:pStyle w:val="TableContents"/>
              <w:bidi w:val="0"/>
              <w:spacing w:before="0" w:after="283"/>
              <w:jc w:val="start"/>
              <w:rPr/>
            </w:pPr>
            <w:r>
              <w:rPr/>
              <w:t xml:space="preserve">1168507 </w:t>
            </w:r>
          </w:p>
        </w:tc>
        <w:tc>
          <w:tcPr>
            <w:tcW w:w="2551" w:type="dxa"/>
            <w:tcBorders/>
            <w:vAlign w:val="center"/>
          </w:tcPr>
          <w:p>
            <w:pPr>
              <w:pStyle w:val="TableContents"/>
              <w:bidi w:val="0"/>
              <w:spacing w:before="0" w:after="283"/>
              <w:jc w:val="start"/>
              <w:rPr/>
            </w:pPr>
            <w:r>
              <w:rPr/>
              <w:t xml:space="preserve">4029813 </w:t>
            </w:r>
          </w:p>
        </w:tc>
      </w:tr>
    </w:tbl>
    <w:p>
      <w:pPr>
        <w:pStyle w:val="TextBody"/>
        <w:bidi w:val="0"/>
        <w:spacing w:before="0" w:after="283"/>
        <w:jc w:val="start"/>
        <w:rPr/>
      </w:pPr>
      <w:r>
        <w:rPr/>
        <w:t xml:space="preserve">Pay Back Period= 3 yerars+2250000-2193997/667309 </w:t>
      </w:r>
    </w:p>
    <w:p>
      <w:pPr>
        <w:pStyle w:val="TextBody"/>
        <w:bidi w:val="0"/>
        <w:spacing w:before="0" w:after="283"/>
        <w:jc w:val="start"/>
        <w:rPr/>
      </w:pPr>
      <w:r>
        <w:rPr/>
        <w:t xml:space="preserve">= 3. 08 Years </w:t>
      </w:r>
    </w:p>
    <w:p>
      <w:pPr>
        <w:pStyle w:val="Heading2"/>
        <w:bidi w:val="0"/>
        <w:jc w:val="start"/>
        <w:rPr/>
      </w:pPr>
      <w:r>
        <w:rPr/>
        <w:t xml:space="preserve">Question No. 2 </w:t>
      </w:r>
    </w:p>
    <w:p>
      <w:pPr>
        <w:pStyle w:val="Heading3"/>
        <w:bidi w:val="0"/>
        <w:jc w:val="start"/>
        <w:rPr/>
      </w:pPr>
      <w:r>
        <w:rPr/>
        <w:t xml:space="preserve">Answer </w:t>
      </w:r>
    </w:p>
    <w:p>
      <w:pPr>
        <w:pStyle w:val="TextBody"/>
        <w:bidi w:val="0"/>
        <w:spacing w:before="0" w:after="283"/>
        <w:jc w:val="start"/>
        <w:rPr/>
      </w:pPr>
      <w:r>
        <w:rPr/>
        <w:t xml:space="preserve">Analysis and evaluation of investment project </w:t>
      </w:r>
    </w:p>
    <w:p>
      <w:pPr>
        <w:pStyle w:val="TextBody"/>
        <w:numPr>
          <w:ilvl w:val="0"/>
          <w:numId w:val="8"/>
        </w:numPr>
        <w:tabs>
          <w:tab w:val="clear" w:pos="1134"/>
          <w:tab w:val="left" w:pos="709" w:leader="none"/>
        </w:tabs>
        <w:bidi w:val="0"/>
        <w:ind w:start="709" w:hanging="283"/>
        <w:jc w:val="start"/>
        <w:rPr/>
      </w:pPr>
      <w:r>
        <w:rPr/>
        <w:t xml:space="preserve">A recommendation on which project to undertake </w:t>
      </w:r>
    </w:p>
    <w:p>
      <w:pPr>
        <w:pStyle w:val="TextBody"/>
        <w:bidi w:val="0"/>
        <w:jc w:val="start"/>
        <w:rPr/>
      </w:pPr>
      <w:r>
        <w:rPr/>
        <w:t xml:space="preserve">On the basis of the above detailed calculation as we can see that the NPV of Project Aspire is greater than the project Wolf, similarly the Internal Rate of Return of Project Aspire and Project wolf both the projects are greater than the cost of capital or the weighted average cost of capital of the company, but IRR in case of Project Aspire is much higher than the IRR of Project Wolf, though using payback period we can see that the payback period of Project Aspire is higher than the project wolf, but still we would recommend the selection of the Project Aspire in the given case (Cundill, et al., 2017). </w:t>
      </w:r>
    </w:p>
    <w:p>
      <w:pPr>
        <w:pStyle w:val="TextBody"/>
        <w:numPr>
          <w:ilvl w:val="0"/>
          <w:numId w:val="9"/>
        </w:numPr>
        <w:tabs>
          <w:tab w:val="clear" w:pos="1134"/>
          <w:tab w:val="left" w:pos="709" w:leader="none"/>
        </w:tabs>
        <w:bidi w:val="0"/>
        <w:ind w:start="709" w:hanging="283"/>
        <w:jc w:val="start"/>
        <w:rPr/>
      </w:pPr>
      <w:r>
        <w:rPr/>
        <w:t xml:space="preserve">Justification for our recommendation including an evaluation of the investment appraisal techniques used in 1 above </w:t>
      </w:r>
    </w:p>
    <w:p>
      <w:pPr>
        <w:pStyle w:val="TextBody"/>
        <w:bidi w:val="0"/>
        <w:jc w:val="start"/>
        <w:rPr/>
      </w:pPr>
      <w:r>
        <w:rPr/>
        <w:t xml:space="preserve">In this case we need to compare amongst the three capital budgeting techniques used above that which one is to be based while making our recommendation in i above. </w:t>
      </w:r>
    </w:p>
    <w:p>
      <w:pPr>
        <w:pStyle w:val="TextBody"/>
        <w:bidi w:val="0"/>
        <w:spacing w:before="0" w:after="283"/>
        <w:jc w:val="start"/>
        <w:rPr/>
      </w:pPr>
      <w:r>
        <w:rPr/>
        <w:t xml:space="preserve">Through the Net present value technique, it becomes possible to discount each cash flow separately, it is preferable in those cases when the project’s discount rate is also not known. Though in most of the cases both NPV and IRR are much widely used techniques, but at times they may provide different results in the scenario when there are variations found in the estimated cash inflows, cash outflows and in the duration of the project (Johan, 2018). At the same time the IRR technique doesn’t consider the impact of external factors on the discount rate being chosen. Truly speaking IRR doesn’t provide the absolute value, rather it is expressed in terms of certain percentage at which the company shall neither make profit nor loss. Hence, it makes the decision-making process rather complicated. At the same time NPV presents the surplus or deficit (if negative) generated from the project. </w:t>
      </w:r>
    </w:p>
    <w:p>
      <w:pPr>
        <w:pStyle w:val="TextBody"/>
        <w:bidi w:val="0"/>
        <w:spacing w:before="0" w:after="283"/>
        <w:jc w:val="start"/>
        <w:rPr/>
      </w:pPr>
      <w:r>
        <w:rPr/>
        <w:t xml:space="preserve">The payback period method is associated with the greatest weakness of not considering the Time value of money factor, hence it shall not be recommended to reach to a decision based on the result obtained using this technique. It even does not take into consideration the cash flows generated beyond the payback back period (Vieira, et al., 2017). </w:t>
      </w:r>
    </w:p>
    <w:p>
      <w:pPr>
        <w:pStyle w:val="TextBody"/>
        <w:bidi w:val="0"/>
        <w:spacing w:before="0" w:after="283"/>
        <w:jc w:val="start"/>
        <w:rPr/>
      </w:pPr>
      <w:r>
        <w:rPr/>
        <w:t xml:space="preserve">Hence in the given case from the above analysis it is quite clear that the use of Net present value techniques has much more preference over the other two techniques, hence our recommendation has been based on result obtained through NPV technique (Kang, et al., 2016). </w:t>
      </w:r>
    </w:p>
    <w:p>
      <w:pPr>
        <w:pStyle w:val="TextBody"/>
        <w:numPr>
          <w:ilvl w:val="0"/>
          <w:numId w:val="10"/>
        </w:numPr>
        <w:tabs>
          <w:tab w:val="clear" w:pos="1134"/>
          <w:tab w:val="left" w:pos="709" w:leader="none"/>
        </w:tabs>
        <w:bidi w:val="0"/>
        <w:ind w:start="709" w:hanging="283"/>
        <w:jc w:val="start"/>
        <w:rPr/>
      </w:pPr>
      <w:r>
        <w:rPr/>
        <w:t xml:space="preserve">A summary of other factors that should be considered and information that may be needed prior to make a final decision </w:t>
      </w:r>
    </w:p>
    <w:p>
      <w:pPr>
        <w:pStyle w:val="TextBody"/>
        <w:bidi w:val="0"/>
        <w:jc w:val="start"/>
        <w:rPr/>
      </w:pPr>
      <w:r>
        <w:rPr/>
        <w:t xml:space="preserve">The following are the additional factors to be kept in mind while making final decision </w:t>
      </w:r>
    </w:p>
    <w:p>
      <w:pPr>
        <w:pStyle w:val="TextBody"/>
        <w:numPr>
          <w:ilvl w:val="0"/>
          <w:numId w:val="11"/>
        </w:numPr>
        <w:tabs>
          <w:tab w:val="clear" w:pos="1134"/>
          <w:tab w:val="left" w:pos="709" w:leader="none"/>
        </w:tabs>
        <w:bidi w:val="0"/>
        <w:spacing w:before="0" w:after="0"/>
        <w:ind w:start="709" w:hanging="283"/>
        <w:jc w:val="start"/>
        <w:rPr/>
      </w:pPr>
      <w:r>
        <w:rPr/>
        <w:t xml:space="preserve">Consumer demand </w:t>
      </w:r>
    </w:p>
    <w:p>
      <w:pPr>
        <w:pStyle w:val="TextBody"/>
        <w:numPr>
          <w:ilvl w:val="0"/>
          <w:numId w:val="11"/>
        </w:numPr>
        <w:tabs>
          <w:tab w:val="clear" w:pos="1134"/>
          <w:tab w:val="left" w:pos="709" w:leader="none"/>
        </w:tabs>
        <w:bidi w:val="0"/>
        <w:spacing w:before="0" w:after="0"/>
        <w:ind w:start="709" w:hanging="283"/>
        <w:jc w:val="start"/>
        <w:rPr/>
      </w:pPr>
      <w:r>
        <w:rPr/>
        <w:t xml:space="preserve">Element of uncertainty </w:t>
      </w:r>
    </w:p>
    <w:p>
      <w:pPr>
        <w:pStyle w:val="TextBody"/>
        <w:numPr>
          <w:ilvl w:val="0"/>
          <w:numId w:val="11"/>
        </w:numPr>
        <w:tabs>
          <w:tab w:val="clear" w:pos="1134"/>
          <w:tab w:val="left" w:pos="709" w:leader="none"/>
        </w:tabs>
        <w:bidi w:val="0"/>
        <w:spacing w:before="0" w:after="0"/>
        <w:ind w:start="709" w:hanging="283"/>
        <w:jc w:val="start"/>
        <w:rPr/>
      </w:pPr>
      <w:r>
        <w:rPr/>
        <w:t xml:space="preserve">Innovations and inventions </w:t>
      </w:r>
    </w:p>
    <w:p>
      <w:pPr>
        <w:pStyle w:val="TextBody"/>
        <w:numPr>
          <w:ilvl w:val="0"/>
          <w:numId w:val="11"/>
        </w:numPr>
        <w:tabs>
          <w:tab w:val="clear" w:pos="1134"/>
          <w:tab w:val="left" w:pos="709" w:leader="none"/>
        </w:tabs>
        <w:bidi w:val="0"/>
        <w:spacing w:before="0" w:after="0"/>
        <w:ind w:start="709" w:hanging="283"/>
        <w:jc w:val="start"/>
        <w:rPr/>
      </w:pPr>
      <w:r>
        <w:rPr/>
        <w:t xml:space="preserve">Level of income </w:t>
      </w:r>
    </w:p>
    <w:p>
      <w:pPr>
        <w:pStyle w:val="TextBody"/>
        <w:numPr>
          <w:ilvl w:val="0"/>
          <w:numId w:val="11"/>
        </w:numPr>
        <w:tabs>
          <w:tab w:val="clear" w:pos="1134"/>
          <w:tab w:val="left" w:pos="709" w:leader="none"/>
        </w:tabs>
        <w:bidi w:val="0"/>
        <w:spacing w:before="0" w:after="0"/>
        <w:ind w:start="709" w:hanging="283"/>
        <w:jc w:val="start"/>
        <w:rPr/>
      </w:pPr>
      <w:r>
        <w:rPr/>
        <w:t xml:space="preserve">Corporation Tax </w:t>
      </w:r>
    </w:p>
    <w:p>
      <w:pPr>
        <w:pStyle w:val="TextBody"/>
        <w:numPr>
          <w:ilvl w:val="0"/>
          <w:numId w:val="11"/>
        </w:numPr>
        <w:tabs>
          <w:tab w:val="clear" w:pos="1134"/>
          <w:tab w:val="left" w:pos="709" w:leader="none"/>
        </w:tabs>
        <w:bidi w:val="0"/>
        <w:spacing w:before="0" w:after="0"/>
        <w:ind w:start="709" w:hanging="283"/>
        <w:jc w:val="start"/>
        <w:rPr/>
      </w:pPr>
      <w:r>
        <w:rPr/>
        <w:t xml:space="preserve">The level of savings </w:t>
      </w:r>
    </w:p>
    <w:p>
      <w:pPr>
        <w:pStyle w:val="TextBody"/>
        <w:numPr>
          <w:ilvl w:val="0"/>
          <w:numId w:val="11"/>
        </w:numPr>
        <w:tabs>
          <w:tab w:val="clear" w:pos="1134"/>
          <w:tab w:val="left" w:pos="709" w:leader="none"/>
        </w:tabs>
        <w:bidi w:val="0"/>
        <w:spacing w:before="0" w:after="0"/>
        <w:ind w:start="709" w:hanging="283"/>
        <w:jc w:val="start"/>
        <w:rPr/>
      </w:pPr>
      <w:r>
        <w:rPr/>
        <w:t xml:space="preserve">The accelerator effects </w:t>
      </w:r>
    </w:p>
    <w:p>
      <w:pPr>
        <w:pStyle w:val="TextBody"/>
        <w:numPr>
          <w:ilvl w:val="0"/>
          <w:numId w:val="11"/>
        </w:numPr>
        <w:tabs>
          <w:tab w:val="clear" w:pos="1134"/>
          <w:tab w:val="left" w:pos="709" w:leader="none"/>
        </w:tabs>
        <w:bidi w:val="0"/>
        <w:spacing w:before="0" w:after="0"/>
        <w:ind w:start="709" w:hanging="283"/>
        <w:jc w:val="start"/>
        <w:rPr/>
      </w:pPr>
      <w:r>
        <w:rPr/>
        <w:t xml:space="preserve">The stock of capital </w:t>
      </w:r>
    </w:p>
    <w:p>
      <w:pPr>
        <w:pStyle w:val="TextBody"/>
        <w:numPr>
          <w:ilvl w:val="0"/>
          <w:numId w:val="11"/>
        </w:numPr>
        <w:tabs>
          <w:tab w:val="clear" w:pos="1134"/>
          <w:tab w:val="left" w:pos="709" w:leader="none"/>
        </w:tabs>
        <w:bidi w:val="0"/>
        <w:ind w:start="709" w:hanging="283"/>
        <w:jc w:val="start"/>
        <w:rPr/>
      </w:pPr>
      <w:r>
        <w:rPr/>
        <w:t xml:space="preserve">The level of economic activity etc. </w:t>
      </w:r>
    </w:p>
    <w:p>
      <w:pPr>
        <w:pStyle w:val="Heading2"/>
        <w:bidi w:val="0"/>
        <w:jc w:val="start"/>
        <w:rPr/>
      </w:pPr>
      <w:r>
        <w:rPr/>
        <w:t xml:space="preserve">Question No. 3 </w:t>
      </w:r>
    </w:p>
    <w:p>
      <w:pPr>
        <w:pStyle w:val="Heading3"/>
        <w:bidi w:val="0"/>
        <w:jc w:val="start"/>
        <w:rPr/>
      </w:pPr>
      <w:r>
        <w:rPr/>
        <w:t xml:space="preserve">Answer </w:t>
      </w:r>
    </w:p>
    <w:p>
      <w:pPr>
        <w:pStyle w:val="TextBody"/>
        <w:bidi w:val="0"/>
        <w:spacing w:before="0" w:after="283"/>
        <w:jc w:val="start"/>
        <w:rPr/>
      </w:pPr>
      <w:r>
        <w:rPr/>
        <w:t xml:space="preserve">A discussion on the two factors of financing being considered by the board of directors by the board of directors of AYR co </w:t>
      </w:r>
    </w:p>
    <w:p>
      <w:pPr>
        <w:pStyle w:val="TextBody"/>
        <w:numPr>
          <w:ilvl w:val="0"/>
          <w:numId w:val="12"/>
        </w:numPr>
        <w:tabs>
          <w:tab w:val="clear" w:pos="1134"/>
          <w:tab w:val="left" w:pos="709" w:leader="none"/>
        </w:tabs>
        <w:bidi w:val="0"/>
        <w:ind w:start="709" w:hanging="283"/>
        <w:jc w:val="start"/>
        <w:rPr/>
      </w:pPr>
      <w:r>
        <w:rPr/>
        <w:t xml:space="preserve">A description of debt and equity </w:t>
      </w:r>
    </w:p>
    <w:p>
      <w:pPr>
        <w:pStyle w:val="TextBody"/>
        <w:bidi w:val="0"/>
        <w:jc w:val="start"/>
        <w:rPr/>
      </w:pPr>
      <w:r>
        <w:rPr/>
        <w:t xml:space="preserve">In case of any business there are basically two modes of finance available with the merits and demerits associated with each of them. </w:t>
      </w:r>
    </w:p>
    <w:p>
      <w:pPr>
        <w:pStyle w:val="TextBody"/>
        <w:bidi w:val="0"/>
        <w:spacing w:before="0" w:after="283"/>
        <w:jc w:val="start"/>
        <w:rPr/>
      </w:pPr>
      <w:r>
        <w:rPr/>
        <w:t xml:space="preserve">Debt financing simply means borrowing fund without sharing the ownership rather promising a fixed percentage of return in terms of interest, whereas equity means amount paid into the business by the owners of the business in exchange of a share of profit earned by the business using their funds. Whereas the business gets the tax shield on the interest paid to the borrowers, but there is no such savings generated from the dividend paid to the equity holders of the business. Raising the quantity of debt may also cause the cost of bankruptcy to the entity if it is found that the firm is overcapitalized in terms of debt financing (Kaufmann, 2017). The equity holders are the real risk takers of the business. Debt financing is considered cheaper over the equity financing due to the limited amount of the risk associated with it. Debt fund may be obtained for short term or long-term purpose depending on the requirement of the fund. </w:t>
      </w:r>
    </w:p>
    <w:p>
      <w:pPr>
        <w:pStyle w:val="TextBody"/>
        <w:bidi w:val="0"/>
        <w:spacing w:before="0" w:after="283"/>
        <w:jc w:val="start"/>
        <w:rPr/>
      </w:pPr>
      <w:r>
        <w:rPr/>
        <w:t xml:space="preserve">ii.   An explanation on the cost of each source of finance </w:t>
      </w:r>
    </w:p>
    <w:p>
      <w:pPr>
        <w:pStyle w:val="TextBody"/>
        <w:bidi w:val="0"/>
        <w:spacing w:before="0" w:after="283"/>
        <w:jc w:val="start"/>
        <w:rPr/>
      </w:pPr>
      <w:r>
        <w:rPr/>
        <w:t xml:space="preserve">Cost of debt </w:t>
      </w:r>
    </w:p>
    <w:p>
      <w:pPr>
        <w:pStyle w:val="TextBody"/>
        <w:bidi w:val="0"/>
        <w:spacing w:before="0" w:after="283"/>
        <w:jc w:val="start"/>
        <w:rPr/>
      </w:pPr>
      <w:r>
        <w:rPr/>
        <w:t xml:space="preserve">The cost of debt is the effective rate of interest an entity pays on its debt fund. The interest paid to the debt fund holders is a tax-deductible expenditure, hence whenever the term cost of debt is used it is meant as after tax cost of debt. There is an inverse relationship between the cost of debt and the rate of tax (Wellmer, 2018). As the rate of tax increases the cost of debt decreases and vice-versa. The formula used for the calculation of the cost of debt is as follows: </w:t>
      </w:r>
    </w:p>
    <w:p>
      <w:pPr>
        <w:pStyle w:val="TextBody"/>
        <w:bidi w:val="0"/>
        <w:spacing w:before="0" w:after="283"/>
        <w:jc w:val="start"/>
        <w:rPr/>
      </w:pPr>
      <w:r>
        <w:rPr/>
        <w:t xml:space="preserve">Kd= I(1-tc) </w:t>
      </w:r>
    </w:p>
    <w:p>
      <w:pPr>
        <w:pStyle w:val="TextBody"/>
        <w:bidi w:val="0"/>
        <w:spacing w:before="0" w:after="283"/>
        <w:jc w:val="start"/>
        <w:rPr/>
      </w:pPr>
      <w:r>
        <w:rPr/>
        <w:t xml:space="preserve">Where, </w:t>
      </w:r>
    </w:p>
    <w:p>
      <w:pPr>
        <w:pStyle w:val="TextBody"/>
        <w:bidi w:val="0"/>
        <w:spacing w:before="0" w:after="283"/>
        <w:jc w:val="start"/>
        <w:rPr/>
      </w:pPr>
      <w:r>
        <w:rPr/>
        <w:t xml:space="preserve">Kd= After tax cost of debt </w:t>
      </w:r>
    </w:p>
    <w:p>
      <w:pPr>
        <w:pStyle w:val="TextBody"/>
        <w:bidi w:val="0"/>
        <w:spacing w:before="0" w:after="283"/>
        <w:jc w:val="start"/>
        <w:rPr/>
      </w:pPr>
      <w:r>
        <w:rPr/>
        <w:t xml:space="preserve">I = Rate of Interest </w:t>
      </w:r>
    </w:p>
    <w:p>
      <w:pPr>
        <w:pStyle w:val="TextBody"/>
        <w:bidi w:val="0"/>
        <w:spacing w:before="0" w:after="283"/>
        <w:jc w:val="start"/>
        <w:rPr/>
      </w:pPr>
      <w:r>
        <w:rPr/>
        <w:t xml:space="preserve">Tc= Tax rate </w:t>
      </w:r>
    </w:p>
    <w:p>
      <w:pPr>
        <w:pStyle w:val="TextBody"/>
        <w:bidi w:val="0"/>
        <w:spacing w:before="0" w:after="283"/>
        <w:jc w:val="start"/>
        <w:rPr/>
      </w:pPr>
      <w:r>
        <w:rPr/>
        <w:t xml:space="preserve">Cost of equity </w:t>
      </w:r>
    </w:p>
    <w:p>
      <w:pPr>
        <w:pStyle w:val="TextBody"/>
        <w:bidi w:val="0"/>
        <w:spacing w:before="0" w:after="283"/>
        <w:jc w:val="start"/>
        <w:rPr/>
      </w:pPr>
      <w:r>
        <w:rPr/>
        <w:t xml:space="preserve">It is the rate of return theoretically proposed to be paid to the equity shareholders of the company in exchange of the risk undertaken by them while making their investment in the entity. There are basically two formulas used while calculating the cost of equity, the first being Dividend capitalization model and capital asset pricing model (Kaufmann, 2017). </w:t>
      </w:r>
    </w:p>
    <w:p>
      <w:pPr>
        <w:pStyle w:val="TextBody"/>
        <w:bidi w:val="0"/>
        <w:spacing w:before="0" w:after="283"/>
        <w:jc w:val="start"/>
        <w:rPr/>
      </w:pPr>
      <w:r>
        <w:rPr/>
        <w:t xml:space="preserve">The formula used are prescribed hereunder: </w:t>
      </w:r>
    </w:p>
    <w:p>
      <w:pPr>
        <w:pStyle w:val="TextBody"/>
        <w:bidi w:val="0"/>
        <w:spacing w:before="0" w:after="283"/>
        <w:jc w:val="start"/>
        <w:rPr/>
      </w:pPr>
      <w:r>
        <w:rPr/>
        <w:t xml:space="preserve">Under the Capital asset pricing model, the level of risk in relation the market is considered. But is less preferred because of its use of historical information </w:t>
      </w:r>
    </w:p>
    <w:p>
      <w:pPr>
        <w:pStyle w:val="TextBody"/>
        <w:bidi w:val="0"/>
        <w:spacing w:before="0" w:after="283"/>
        <w:jc w:val="start"/>
        <w:rPr/>
      </w:pPr>
      <w:r>
        <w:rPr/>
        <w:t xml:space="preserve">E= Rf+Beta*(Rm-Rf) </w:t>
      </w:r>
    </w:p>
    <w:p>
      <w:pPr>
        <w:pStyle w:val="TextBody"/>
        <w:bidi w:val="0"/>
        <w:spacing w:before="0" w:after="283"/>
        <w:jc w:val="start"/>
        <w:rPr/>
      </w:pPr>
      <w:r>
        <w:rPr/>
        <w:t xml:space="preserve">Where E = Expected return from the Asset </w:t>
      </w:r>
    </w:p>
    <w:p>
      <w:pPr>
        <w:pStyle w:val="TextBody"/>
        <w:bidi w:val="0"/>
        <w:spacing w:before="0" w:after="283"/>
        <w:jc w:val="start"/>
        <w:rPr/>
      </w:pPr>
      <w:r>
        <w:rPr/>
        <w:t xml:space="preserve">Rf= Risk-free Rate of return </w:t>
      </w:r>
    </w:p>
    <w:p>
      <w:pPr>
        <w:pStyle w:val="TextBody"/>
        <w:bidi w:val="0"/>
        <w:spacing w:before="0" w:after="283"/>
        <w:jc w:val="start"/>
        <w:rPr/>
      </w:pPr>
      <w:r>
        <w:rPr/>
        <w:t xml:space="preserve">Beta= Systematic Risk of the asset </w:t>
      </w:r>
    </w:p>
    <w:p>
      <w:pPr>
        <w:pStyle w:val="TextBody"/>
        <w:bidi w:val="0"/>
        <w:spacing w:before="0" w:after="283"/>
        <w:jc w:val="start"/>
        <w:rPr/>
      </w:pPr>
      <w:r>
        <w:rPr/>
        <w:t xml:space="preserve">Rm= Return from the market </w:t>
      </w:r>
    </w:p>
    <w:p>
      <w:pPr>
        <w:pStyle w:val="TextBody"/>
        <w:bidi w:val="0"/>
        <w:spacing w:before="0" w:after="283"/>
        <w:jc w:val="start"/>
        <w:rPr/>
      </w:pPr>
      <w:r>
        <w:rPr/>
        <w:t xml:space="preserve">Risk Free rate of return is the rate of return expected to be received from making the risk-free investments </w:t>
      </w:r>
    </w:p>
    <w:p>
      <w:pPr>
        <w:pStyle w:val="TextBody"/>
        <w:bidi w:val="0"/>
        <w:spacing w:before="0" w:after="283"/>
        <w:jc w:val="start"/>
        <w:rPr/>
      </w:pPr>
      <w:r>
        <w:rPr/>
        <w:t xml:space="preserve">Beta is the measurement of volatility that can be obtained online or may even be calculated using the regression analysis through dividing the covariance of the market return and asset by variance of the market. If the Beta is less than one means the asset is less volatile, if it is equal to one then it means that its volatility is that of equal to the market, but if it greater than market, then it means that the asset is much more volatile in relation to the market (Knechel &amp; Salterio, 2016). </w:t>
      </w:r>
    </w:p>
    <w:p>
      <w:pPr>
        <w:pStyle w:val="TextBody"/>
        <w:bidi w:val="0"/>
        <w:spacing w:before="0" w:after="283"/>
        <w:jc w:val="start"/>
        <w:rPr/>
      </w:pPr>
      <w:r>
        <w:rPr/>
        <w:t xml:space="preserve">Dividend capitalization model </w:t>
      </w:r>
    </w:p>
    <w:p>
      <w:pPr>
        <w:pStyle w:val="TextBody"/>
        <w:bidi w:val="0"/>
        <w:spacing w:before="0" w:after="283"/>
        <w:jc w:val="start"/>
        <w:rPr/>
      </w:pPr>
      <w:r>
        <w:rPr/>
        <w:t xml:space="preserve">This approach for equity valuation can only be applied for the companies paying dividend which assumes that the dividend shall grow at a constant rate but does not consider the extent of risk as being considered by the capital asset pricing model. </w:t>
      </w:r>
    </w:p>
    <w:p>
      <w:pPr>
        <w:pStyle w:val="TextBody"/>
        <w:bidi w:val="0"/>
        <w:spacing w:before="0" w:after="283"/>
        <w:jc w:val="start"/>
        <w:rPr/>
      </w:pPr>
      <w:r>
        <w:rPr/>
        <w:t xml:space="preserve">The formula to be used </w:t>
      </w:r>
    </w:p>
    <w:p>
      <w:pPr>
        <w:pStyle w:val="TextBody"/>
        <w:bidi w:val="0"/>
        <w:spacing w:before="0" w:after="283"/>
        <w:jc w:val="start"/>
        <w:rPr/>
      </w:pPr>
      <w:r>
        <w:rPr/>
        <w:t xml:space="preserve">E=(D1/P0)/G </w:t>
      </w:r>
    </w:p>
    <w:p>
      <w:pPr>
        <w:pStyle w:val="TextBody"/>
        <w:bidi w:val="0"/>
        <w:spacing w:before="0" w:after="283"/>
        <w:jc w:val="start"/>
        <w:rPr/>
      </w:pPr>
      <w:r>
        <w:rPr/>
        <w:t xml:space="preserve">Where </w:t>
      </w:r>
    </w:p>
    <w:p>
      <w:pPr>
        <w:pStyle w:val="TextBody"/>
        <w:bidi w:val="0"/>
        <w:spacing w:before="0" w:after="283"/>
        <w:jc w:val="start"/>
        <w:rPr/>
      </w:pPr>
      <w:r>
        <w:rPr/>
        <w:t xml:space="preserve">E= Cost of equity </w:t>
      </w:r>
    </w:p>
    <w:p>
      <w:pPr>
        <w:pStyle w:val="TextBody"/>
        <w:bidi w:val="0"/>
        <w:spacing w:before="0" w:after="283"/>
        <w:jc w:val="start"/>
        <w:rPr/>
      </w:pPr>
      <w:r>
        <w:rPr/>
        <w:t xml:space="preserve">D1= Dividend in next year </w:t>
      </w:r>
    </w:p>
    <w:p>
      <w:pPr>
        <w:pStyle w:val="TextBody"/>
        <w:bidi w:val="0"/>
        <w:spacing w:before="0" w:after="283"/>
        <w:jc w:val="start"/>
        <w:rPr/>
      </w:pPr>
      <w:r>
        <w:rPr/>
        <w:t xml:space="preserve">P0= Current market price of the share </w:t>
      </w:r>
    </w:p>
    <w:p>
      <w:pPr>
        <w:pStyle w:val="TextBody"/>
        <w:bidi w:val="0"/>
        <w:spacing w:before="0" w:after="283"/>
        <w:jc w:val="start"/>
        <w:rPr/>
      </w:pPr>
      <w:r>
        <w:rPr/>
        <w:t xml:space="preserve">G= growth rate of dividend </w:t>
      </w:r>
    </w:p>
    <w:p>
      <w:pPr>
        <w:pStyle w:val="TextBody"/>
        <w:bidi w:val="0"/>
        <w:spacing w:before="0" w:after="283"/>
        <w:jc w:val="start"/>
        <w:rPr/>
      </w:pPr>
      <w:r>
        <w:rPr/>
        <w:t xml:space="preserve">Dividend for the future years can easily be obtained as generally the companies announce the dividend in far advance before the date of actual distribution of the dividend. </w:t>
      </w:r>
    </w:p>
    <w:p>
      <w:pPr>
        <w:pStyle w:val="TextBody"/>
        <w:bidi w:val="0"/>
        <w:spacing w:before="0" w:after="283"/>
        <w:jc w:val="start"/>
        <w:rPr/>
      </w:pPr>
      <w:r>
        <w:rPr/>
        <w:t xml:space="preserve">Current market price of the share can be obtained from the Stock exchange search. </w:t>
      </w:r>
    </w:p>
    <w:p>
      <w:pPr>
        <w:pStyle w:val="TextBody"/>
        <w:bidi w:val="0"/>
        <w:spacing w:before="0" w:after="283"/>
        <w:jc w:val="start"/>
        <w:rPr/>
      </w:pPr>
      <w:r>
        <w:rPr/>
        <w:t xml:space="preserve">Growth rate of dividend </w:t>
      </w:r>
    </w:p>
    <w:p>
      <w:pPr>
        <w:pStyle w:val="TextBody"/>
        <w:bidi w:val="0"/>
        <w:spacing w:before="0" w:after="283"/>
        <w:jc w:val="start"/>
        <w:rPr/>
      </w:pPr>
      <w:r>
        <w:rPr/>
        <w:t xml:space="preserve">If the rate of growth of the dividend is not known, then in that case it can be obtained using the following formula </w:t>
      </w:r>
    </w:p>
    <w:p>
      <w:pPr>
        <w:pStyle w:val="TextBody"/>
        <w:bidi w:val="0"/>
        <w:spacing w:before="0" w:after="283"/>
        <w:jc w:val="start"/>
        <w:rPr/>
      </w:pPr>
      <w:r>
        <w:rPr/>
        <w:t xml:space="preserve">G=(DTh/dt-1)-1 </w:t>
      </w:r>
    </w:p>
    <w:p>
      <w:pPr>
        <w:pStyle w:val="TextBody"/>
        <w:bidi w:val="0"/>
        <w:spacing w:before="0" w:after="283"/>
        <w:jc w:val="start"/>
        <w:rPr/>
      </w:pPr>
      <w:r>
        <w:rPr/>
        <w:t xml:space="preserve">Where, </w:t>
      </w:r>
    </w:p>
    <w:p>
      <w:pPr>
        <w:pStyle w:val="TextBody"/>
        <w:bidi w:val="0"/>
        <w:spacing w:before="0" w:after="283"/>
        <w:jc w:val="start"/>
        <w:rPr/>
      </w:pPr>
      <w:r>
        <w:rPr/>
        <w:t xml:space="preserve">Dt= payment of dividend in T period </w:t>
      </w:r>
    </w:p>
    <w:p>
      <w:pPr>
        <w:pStyle w:val="TextBody"/>
        <w:bidi w:val="0"/>
        <w:spacing w:before="0" w:after="283"/>
        <w:jc w:val="start"/>
        <w:rPr/>
      </w:pPr>
      <w:r>
        <w:rPr/>
        <w:t xml:space="preserve">Dt-1= payment of dividend one year prior to t period </w:t>
      </w:r>
    </w:p>
    <w:p>
      <w:pPr>
        <w:pStyle w:val="TextBody"/>
        <w:numPr>
          <w:ilvl w:val="0"/>
          <w:numId w:val="13"/>
        </w:numPr>
        <w:tabs>
          <w:tab w:val="clear" w:pos="1134"/>
          <w:tab w:val="left" w:pos="709" w:leader="none"/>
        </w:tabs>
        <w:bidi w:val="0"/>
        <w:ind w:start="709" w:hanging="283"/>
        <w:jc w:val="start"/>
        <w:rPr/>
      </w:pPr>
      <w:r>
        <w:rPr/>
        <w:t xml:space="preserve">An analysis of the effect of the selection of the source of finance may have on AYR co.’s weighted average cost of capital (WACC). </w:t>
      </w:r>
    </w:p>
    <w:p>
      <w:pPr>
        <w:pStyle w:val="TextBody"/>
        <w:bidi w:val="0"/>
        <w:jc w:val="start"/>
        <w:rPr/>
      </w:pPr>
      <w:r>
        <w:rPr/>
        <w:t xml:space="preserve">If the entire fund is invested by means of debt then the new capital structure of AYR co shall be </w:t>
      </w:r>
    </w:p>
    <w:p>
      <w:pPr>
        <w:pStyle w:val="TextBody"/>
        <w:bidi w:val="0"/>
        <w:spacing w:before="0" w:after="283"/>
        <w:jc w:val="start"/>
        <w:rPr/>
      </w:pPr>
      <w:r>
        <w:rPr/>
        <w:t xml:space="preserve">Equity = $20 million </w:t>
      </w:r>
    </w:p>
    <w:p>
      <w:pPr>
        <w:pStyle w:val="TextBody"/>
        <w:bidi w:val="0"/>
        <w:spacing w:before="0" w:after="283"/>
        <w:jc w:val="start"/>
        <w:rPr/>
      </w:pPr>
      <w:r>
        <w:rPr/>
        <w:t xml:space="preserve">Debt= $18+$2. 25= $20. 25 million </w:t>
      </w:r>
    </w:p>
    <w:p>
      <w:pPr>
        <w:pStyle w:val="TextBody"/>
        <w:bidi w:val="0"/>
        <w:spacing w:before="0" w:after="283"/>
        <w:jc w:val="start"/>
        <w:rPr/>
      </w:pPr>
      <w:r>
        <w:rPr/>
        <w:t xml:space="preserve">Let the after-tax cost of debt be 5% and cost of equity be 7% </w:t>
      </w:r>
    </w:p>
    <w:p>
      <w:pPr>
        <w:pStyle w:val="TextBody"/>
        <w:bidi w:val="0"/>
        <w:spacing w:before="0" w:after="283"/>
        <w:jc w:val="start"/>
        <w:rPr/>
      </w:pPr>
      <w:r>
        <w:rPr/>
        <w:t xml:space="preserve">Hence the WACC would be </w:t>
      </w:r>
    </w:p>
    <w:p>
      <w:pPr>
        <w:pStyle w:val="TextBody"/>
        <w:bidi w:val="0"/>
        <w:spacing w:before="0" w:after="283"/>
        <w:jc w:val="start"/>
        <w:rPr/>
      </w:pPr>
      <w:r>
        <w:rPr/>
        <w:t xml:space="preserve">= 5*$20. 25/$40. 25+7*$20/$40. 25 </w:t>
      </w:r>
    </w:p>
    <w:p>
      <w:pPr>
        <w:pStyle w:val="TextBody"/>
        <w:bidi w:val="0"/>
        <w:spacing w:before="0" w:after="283"/>
        <w:jc w:val="start"/>
        <w:rPr/>
      </w:pPr>
      <w:r>
        <w:rPr/>
        <w:t xml:space="preserve">= 5. 99% </w:t>
      </w:r>
    </w:p>
    <w:p>
      <w:pPr>
        <w:pStyle w:val="TextBody"/>
        <w:bidi w:val="0"/>
        <w:spacing w:before="0" w:after="283"/>
        <w:jc w:val="start"/>
        <w:rPr/>
      </w:pPr>
      <w:r>
        <w:rPr/>
        <w:t xml:space="preserve">If the entire fund is invested by means of equity then the new capital structure of AYR co shall be </w:t>
      </w:r>
    </w:p>
    <w:p>
      <w:pPr>
        <w:pStyle w:val="TextBody"/>
        <w:bidi w:val="0"/>
        <w:spacing w:before="0" w:after="283"/>
        <w:jc w:val="start"/>
        <w:rPr/>
      </w:pPr>
      <w:r>
        <w:rPr/>
        <w:t xml:space="preserve">Equity= $20million+$2. 25milloion= $22. 25million </w:t>
      </w:r>
    </w:p>
    <w:p>
      <w:pPr>
        <w:pStyle w:val="TextBody"/>
        <w:bidi w:val="0"/>
        <w:spacing w:before="0" w:after="283"/>
        <w:jc w:val="start"/>
        <w:rPr/>
      </w:pPr>
      <w:r>
        <w:rPr/>
        <w:t xml:space="preserve">Debt= $18 million </w:t>
      </w:r>
    </w:p>
    <w:p>
      <w:pPr>
        <w:pStyle w:val="TextBody"/>
        <w:bidi w:val="0"/>
        <w:spacing w:before="0" w:after="283"/>
        <w:jc w:val="start"/>
        <w:rPr/>
      </w:pPr>
      <w:r>
        <w:rPr/>
        <w:t xml:space="preserve">Let the after-tax cost of debt be 5% and cost of equity be 7% </w:t>
      </w:r>
    </w:p>
    <w:p>
      <w:pPr>
        <w:pStyle w:val="TextBody"/>
        <w:bidi w:val="0"/>
        <w:spacing w:before="0" w:after="283"/>
        <w:jc w:val="start"/>
        <w:rPr/>
      </w:pPr>
      <w:r>
        <w:rPr/>
        <w:t xml:space="preserve">Hence the WACC would be </w:t>
      </w:r>
    </w:p>
    <w:p>
      <w:pPr>
        <w:pStyle w:val="TextBody"/>
        <w:bidi w:val="0"/>
        <w:spacing w:before="0" w:after="283"/>
        <w:jc w:val="start"/>
        <w:rPr/>
      </w:pPr>
      <w:r>
        <w:rPr/>
        <w:t xml:space="preserve">= 5*$18/$40. 25+7*$22. 5/$40. 25 </w:t>
      </w:r>
    </w:p>
    <w:p>
      <w:pPr>
        <w:pStyle w:val="TextBody"/>
        <w:bidi w:val="0"/>
        <w:spacing w:before="0" w:after="283"/>
        <w:jc w:val="start"/>
        <w:rPr/>
      </w:pPr>
      <w:r>
        <w:rPr/>
        <w:t xml:space="preserve">= 6. 14% </w:t>
      </w:r>
    </w:p>
    <w:p>
      <w:pPr>
        <w:pStyle w:val="TextBody"/>
        <w:bidi w:val="0"/>
        <w:spacing w:before="0" w:after="283"/>
        <w:jc w:val="start"/>
        <w:rPr/>
      </w:pPr>
      <w:r>
        <w:rPr/>
        <w:t xml:space="preserve">Thus, from the above calculation it is quite clear that the firm should choose the debt as a means of financing as the weighted average cost of capital shall be lower in this case. </w:t>
      </w:r>
    </w:p>
    <w:p>
      <w:pPr>
        <w:pStyle w:val="TextBody"/>
        <w:numPr>
          <w:ilvl w:val="0"/>
          <w:numId w:val="14"/>
        </w:numPr>
        <w:tabs>
          <w:tab w:val="clear" w:pos="1134"/>
          <w:tab w:val="left" w:pos="709" w:leader="none"/>
        </w:tabs>
        <w:bidi w:val="0"/>
        <w:ind w:start="709" w:hanging="283"/>
        <w:jc w:val="start"/>
        <w:rPr/>
      </w:pPr>
      <w:r>
        <w:rPr/>
        <w:t xml:space="preserve">An Assessment of the impact of the selection of finance on the current and potential shareholders and lenders </w:t>
      </w:r>
    </w:p>
    <w:p>
      <w:pPr>
        <w:pStyle w:val="TextBody"/>
        <w:bidi w:val="0"/>
        <w:jc w:val="start"/>
        <w:rPr/>
      </w:pPr>
      <w:r>
        <w:rPr/>
        <w:t xml:space="preserve">This is described through the following points </w:t>
      </w:r>
    </w:p>
    <w:p>
      <w:pPr>
        <w:pStyle w:val="TextBody"/>
        <w:numPr>
          <w:ilvl w:val="0"/>
          <w:numId w:val="15"/>
        </w:numPr>
        <w:tabs>
          <w:tab w:val="clear" w:pos="1134"/>
          <w:tab w:val="left" w:pos="709" w:leader="none"/>
        </w:tabs>
        <w:bidi w:val="0"/>
        <w:spacing w:before="0" w:after="0"/>
        <w:ind w:start="709" w:hanging="283"/>
        <w:jc w:val="start"/>
        <w:rPr/>
      </w:pPr>
      <w:r>
        <w:rPr/>
        <w:t xml:space="preserve">As in the given case the amount of debt fund shall be higher in comparison to the overall equity investment in the AYR co, hence there shall be the high risk of bearing the burden of debt for the firm, that it must mandatorily pay to those debtholders. </w:t>
      </w:r>
    </w:p>
    <w:p>
      <w:pPr>
        <w:pStyle w:val="TextBody"/>
        <w:numPr>
          <w:ilvl w:val="0"/>
          <w:numId w:val="15"/>
        </w:numPr>
        <w:tabs>
          <w:tab w:val="clear" w:pos="1134"/>
          <w:tab w:val="left" w:pos="709" w:leader="none"/>
        </w:tabs>
        <w:bidi w:val="0"/>
        <w:spacing w:before="0" w:after="0"/>
        <w:ind w:start="709" w:hanging="283"/>
        <w:jc w:val="start"/>
        <w:rPr/>
      </w:pPr>
      <w:r>
        <w:rPr/>
        <w:t xml:space="preserve">The creditworthiness of the company shall be highly doubtful in which owner’s fund ids less than the borrowed funds (Pamela &amp; Tamara, 2013). </w:t>
      </w:r>
    </w:p>
    <w:p>
      <w:pPr>
        <w:pStyle w:val="TextBody"/>
        <w:numPr>
          <w:ilvl w:val="0"/>
          <w:numId w:val="15"/>
        </w:numPr>
        <w:tabs>
          <w:tab w:val="clear" w:pos="1134"/>
          <w:tab w:val="left" w:pos="709" w:leader="none"/>
        </w:tabs>
        <w:bidi w:val="0"/>
        <w:spacing w:before="0" w:after="0"/>
        <w:ind w:start="709" w:hanging="283"/>
        <w:jc w:val="start"/>
        <w:rPr/>
      </w:pPr>
      <w:r>
        <w:rPr/>
        <w:t xml:space="preserve">In future it shall be difficult to raise further funds through the means of debt financing before it repays some amount of its existing debt liabilities. </w:t>
      </w:r>
    </w:p>
    <w:p>
      <w:pPr>
        <w:pStyle w:val="TextBody"/>
        <w:numPr>
          <w:ilvl w:val="0"/>
          <w:numId w:val="15"/>
        </w:numPr>
        <w:tabs>
          <w:tab w:val="clear" w:pos="1134"/>
          <w:tab w:val="left" w:pos="709" w:leader="none"/>
        </w:tabs>
        <w:bidi w:val="0"/>
        <w:spacing w:before="0" w:after="0"/>
        <w:ind w:start="709" w:hanging="283"/>
        <w:jc w:val="start"/>
        <w:rPr/>
      </w:pPr>
      <w:r>
        <w:rPr/>
        <w:t xml:space="preserve">There is huge potential of decreasing the market price of the share of the AYR Co. </w:t>
      </w:r>
    </w:p>
    <w:p>
      <w:pPr>
        <w:pStyle w:val="TextBody"/>
        <w:numPr>
          <w:ilvl w:val="0"/>
          <w:numId w:val="15"/>
        </w:numPr>
        <w:tabs>
          <w:tab w:val="clear" w:pos="1134"/>
          <w:tab w:val="left" w:pos="709" w:leader="none"/>
        </w:tabs>
        <w:bidi w:val="0"/>
        <w:ind w:start="709" w:hanging="283"/>
        <w:jc w:val="start"/>
        <w:rPr/>
      </w:pPr>
      <w:r>
        <w:rPr/>
        <w:t xml:space="preserve">In future it shall become doubtful to pay dividend to its shareholders after meeting the interest obligations of the debt fund holders (Knechel &amp; Salterio, 2016). </w:t>
      </w:r>
    </w:p>
    <w:p>
      <w:pPr>
        <w:pStyle w:val="Heading2"/>
        <w:bidi w:val="0"/>
        <w:jc w:val="start"/>
        <w:rPr/>
      </w:pPr>
      <w:r>
        <w:rPr/>
        <w:t xml:space="preserve">Conclusion </w:t>
      </w:r>
    </w:p>
    <w:p>
      <w:pPr>
        <w:pStyle w:val="TextBody"/>
        <w:bidi w:val="0"/>
        <w:spacing w:before="0" w:after="283"/>
        <w:jc w:val="start"/>
        <w:rPr/>
      </w:pPr>
      <w:r>
        <w:rPr/>
        <w:t xml:space="preserve">From the above detailed analysis, it is quite clear that capital budgeting techniques undoubtedly play a major role in choosing an appropriate investment project, but the decision cannot be or should not be finally based on the result obtained from these capital budgeting techniques. S these capital budgeting techniques are purely based on the quantitative data, but there are qualitative factors too that are major contributors or determinants of such decision making. </w:t>
      </w:r>
    </w:p>
    <w:p>
      <w:pPr>
        <w:pStyle w:val="TextBody"/>
        <w:bidi w:val="0"/>
        <w:spacing w:before="0" w:after="283"/>
        <w:jc w:val="start"/>
        <w:rPr/>
      </w:pPr>
      <w:r>
        <w:rPr/>
        <w:t xml:space="preserve">Hence a careful detailed discussion is required to be made for these qualitative factors too before reaching to a conclusion. </w:t>
      </w:r>
    </w:p>
    <w:p>
      <w:pPr>
        <w:pStyle w:val="TextBody"/>
        <w:bidi w:val="0"/>
        <w:spacing w:before="0" w:after="283"/>
        <w:jc w:val="start"/>
        <w:rPr/>
      </w:pPr>
      <w:r>
        <w:rPr/>
        <w:t xml:space="preserve">At the same time while making selection for the appropriate mode of financing due consideration should be given to the both modes of financing naming debt and equity. Because though it is correct that debt financing can provide the tax savings as the interest paid on debt is a tax-deductible expense, but there is the risk of bankruptcy too for a firm having higher amount of debt. At the same time if the firm thinks about to raise the amount of equity then the level of risk taking by such equity holders get increased and consequently they may demand higher amount of dividend. In that case they may also expect to increase the rate of dividend every year that may again indirectly affect the share price of the AYR Co. Hence a reasonable proportion of debt and equity is being suggested. </w:t>
      </w:r>
    </w:p>
    <w:p>
      <w:pPr>
        <w:pStyle w:val="TextBody"/>
        <w:bidi w:val="0"/>
        <w:spacing w:before="0" w:after="283"/>
        <w:jc w:val="start"/>
        <w:rPr/>
      </w:pPr>
      <w:r>
        <w:rPr/>
        <w:t xml:space="preserve">Finally, it is recommended to the Board of directors that they should not reach to any final decision solely based on quantitative calculations made in this report but should resort to other reports and other means of seeking valuable information in this regard. They may seek the help from the experts too. </w:t>
      </w:r>
    </w:p>
    <w:p>
      <w:pPr>
        <w:pStyle w:val="TextBody"/>
        <w:bidi w:val="0"/>
        <w:jc w:val="start"/>
        <w:rPr>
          <w:u w:val="single"/>
        </w:rPr>
      </w:pPr>
      <w:r>
        <w:rPr>
          <w:u w:val="single"/>
        </w:rPr>
        <w:t xml:space="preserve">Appendix -1 </w:t>
      </w:r>
    </w:p>
    <w:p>
      <w:pPr>
        <w:pStyle w:val="TextBody"/>
        <w:bidi w:val="0"/>
        <w:jc w:val="start"/>
        <w:rPr>
          <w:u w:val="single"/>
        </w:rPr>
      </w:pPr>
      <w:r>
        <w:rPr>
          <w:u w:val="single"/>
        </w:rPr>
        <w:t xml:space="preserve">Working Note No. 1 </w:t>
      </w:r>
    </w:p>
    <w:p>
      <w:pPr>
        <w:pStyle w:val="TextBody"/>
        <w:numPr>
          <w:ilvl w:val="0"/>
          <w:numId w:val="16"/>
        </w:numPr>
        <w:tabs>
          <w:tab w:val="clear" w:pos="1134"/>
          <w:tab w:val="left" w:pos="709" w:leader="none"/>
        </w:tabs>
        <w:bidi w:val="0"/>
        <w:ind w:start="709" w:hanging="283"/>
        <w:jc w:val="start"/>
        <w:rPr/>
      </w:pPr>
      <w:r>
        <w:rPr/>
        <w:t xml:space="preserve">Statement showing the After-tax cash inflow from the Project Aspire of AYR Co. </w:t>
      </w:r>
    </w:p>
    <w:p>
      <w:pPr>
        <w:pStyle w:val="TextBody"/>
        <w:bidi w:val="0"/>
        <w:jc w:val="start"/>
        <w:rPr/>
      </w:pPr>
      <w:r>
        <w:rPr/>
        <w:t xml:space="preserve">(Figures in $) </w:t>
      </w:r>
    </w:p>
    <w:tbl>
      <w:tblPr>
        <w:tblW w:w="5605" w:type="dxa"/>
        <w:jc w:val="start"/>
        <w:tblInd w:w="0" w:type="dxa"/>
        <w:tblLayout w:type="fixed"/>
        <w:tblCellMar>
          <w:top w:w="28" w:type="dxa"/>
          <w:start w:w="28" w:type="dxa"/>
          <w:bottom w:w="28" w:type="dxa"/>
          <w:end w:w="28" w:type="dxa"/>
        </w:tblCellMar>
      </w:tblPr>
      <w:tblGrid>
        <w:gridCol w:w="1409"/>
        <w:gridCol w:w="828"/>
        <w:gridCol w:w="831"/>
        <w:gridCol w:w="830"/>
        <w:gridCol w:w="831"/>
        <w:gridCol w:w="876"/>
      </w:tblGrid>
      <w:tr>
        <w:trPr/>
        <w:tc>
          <w:tcPr>
            <w:tcW w:w="1409" w:type="dxa"/>
            <w:tcBorders/>
            <w:vAlign w:val="center"/>
          </w:tcPr>
          <w:p>
            <w:pPr>
              <w:pStyle w:val="TableContents"/>
              <w:bidi w:val="0"/>
              <w:spacing w:before="0" w:after="283"/>
              <w:jc w:val="start"/>
              <w:rPr/>
            </w:pPr>
            <w:r>
              <w:rPr/>
              <w:t xml:space="preserve">Particulars </w:t>
            </w:r>
          </w:p>
        </w:tc>
        <w:tc>
          <w:tcPr>
            <w:tcW w:w="828" w:type="dxa"/>
            <w:tcBorders/>
            <w:vAlign w:val="center"/>
          </w:tcPr>
          <w:p>
            <w:pPr>
              <w:pStyle w:val="TableContents"/>
              <w:bidi w:val="0"/>
              <w:spacing w:before="0" w:after="283"/>
              <w:jc w:val="start"/>
              <w:rPr/>
            </w:pPr>
            <w:r>
              <w:rPr/>
              <w:t xml:space="preserve">First year </w:t>
            </w:r>
          </w:p>
        </w:tc>
        <w:tc>
          <w:tcPr>
            <w:tcW w:w="831" w:type="dxa"/>
            <w:tcBorders/>
            <w:vAlign w:val="center"/>
          </w:tcPr>
          <w:p>
            <w:pPr>
              <w:pStyle w:val="TableContents"/>
              <w:bidi w:val="0"/>
              <w:spacing w:before="0" w:after="283"/>
              <w:jc w:val="start"/>
              <w:rPr/>
            </w:pPr>
            <w:r>
              <w:rPr/>
              <w:t xml:space="preserve">Second year </w:t>
            </w:r>
          </w:p>
        </w:tc>
        <w:tc>
          <w:tcPr>
            <w:tcW w:w="830" w:type="dxa"/>
            <w:tcBorders/>
            <w:vAlign w:val="center"/>
          </w:tcPr>
          <w:p>
            <w:pPr>
              <w:pStyle w:val="TableContents"/>
              <w:bidi w:val="0"/>
              <w:spacing w:before="0" w:after="283"/>
              <w:jc w:val="start"/>
              <w:rPr/>
            </w:pPr>
            <w:r>
              <w:rPr/>
              <w:t xml:space="preserve">Third Year </w:t>
            </w:r>
          </w:p>
        </w:tc>
        <w:tc>
          <w:tcPr>
            <w:tcW w:w="831" w:type="dxa"/>
            <w:tcBorders/>
            <w:vAlign w:val="center"/>
          </w:tcPr>
          <w:p>
            <w:pPr>
              <w:pStyle w:val="TableContents"/>
              <w:bidi w:val="0"/>
              <w:spacing w:before="0" w:after="283"/>
              <w:jc w:val="start"/>
              <w:rPr/>
            </w:pPr>
            <w:r>
              <w:rPr/>
              <w:t xml:space="preserve">Fourth Year </w:t>
            </w:r>
          </w:p>
        </w:tc>
        <w:tc>
          <w:tcPr>
            <w:tcW w:w="876" w:type="dxa"/>
            <w:tcBorders/>
            <w:vAlign w:val="center"/>
          </w:tcPr>
          <w:p>
            <w:pPr>
              <w:pStyle w:val="TableContents"/>
              <w:bidi w:val="0"/>
              <w:spacing w:before="0" w:after="283"/>
              <w:jc w:val="start"/>
              <w:rPr/>
            </w:pPr>
            <w:r>
              <w:rPr/>
              <w:t xml:space="preserve">Fifth Year </w:t>
            </w:r>
          </w:p>
        </w:tc>
      </w:tr>
      <w:tr>
        <w:trPr/>
        <w:tc>
          <w:tcPr>
            <w:tcW w:w="1409" w:type="dxa"/>
            <w:tcBorders/>
            <w:vAlign w:val="center"/>
          </w:tcPr>
          <w:p>
            <w:pPr>
              <w:pStyle w:val="TableContents"/>
              <w:bidi w:val="0"/>
              <w:spacing w:before="0" w:after="283"/>
              <w:jc w:val="start"/>
              <w:rPr/>
            </w:pPr>
            <w:r>
              <w:rPr/>
              <w:t xml:space="preserve">Cash Inflows </w:t>
            </w:r>
          </w:p>
        </w:tc>
        <w:tc>
          <w:tcPr>
            <w:tcW w:w="828" w:type="dxa"/>
            <w:tcBorders/>
            <w:vAlign w:val="center"/>
          </w:tcPr>
          <w:p>
            <w:pPr>
              <w:pStyle w:val="TableContents"/>
              <w:bidi w:val="0"/>
              <w:spacing w:before="0" w:after="283"/>
              <w:jc w:val="start"/>
              <w:rPr/>
            </w:pPr>
            <w:r>
              <w:rPr/>
              <w:t xml:space="preserve">650000 </w:t>
            </w:r>
          </w:p>
        </w:tc>
        <w:tc>
          <w:tcPr>
            <w:tcW w:w="831" w:type="dxa"/>
            <w:tcBorders/>
            <w:vAlign w:val="center"/>
          </w:tcPr>
          <w:p>
            <w:pPr>
              <w:pStyle w:val="TableContents"/>
              <w:bidi w:val="0"/>
              <w:spacing w:before="0" w:after="283"/>
              <w:jc w:val="start"/>
              <w:rPr/>
            </w:pPr>
            <w:r>
              <w:rPr/>
              <w:t xml:space="preserve">698750 </w:t>
            </w:r>
          </w:p>
        </w:tc>
        <w:tc>
          <w:tcPr>
            <w:tcW w:w="830" w:type="dxa"/>
            <w:tcBorders/>
            <w:vAlign w:val="center"/>
          </w:tcPr>
          <w:p>
            <w:pPr>
              <w:pStyle w:val="TableContents"/>
              <w:bidi w:val="0"/>
              <w:spacing w:before="0" w:after="283"/>
              <w:jc w:val="start"/>
              <w:rPr/>
            </w:pPr>
            <w:r>
              <w:rPr/>
              <w:t xml:space="preserve">698750 </w:t>
            </w:r>
          </w:p>
        </w:tc>
        <w:tc>
          <w:tcPr>
            <w:tcW w:w="831" w:type="dxa"/>
            <w:tcBorders/>
            <w:vAlign w:val="center"/>
          </w:tcPr>
          <w:p>
            <w:pPr>
              <w:pStyle w:val="TableContents"/>
              <w:bidi w:val="0"/>
              <w:spacing w:before="0" w:after="283"/>
              <w:jc w:val="start"/>
              <w:rPr/>
            </w:pPr>
            <w:r>
              <w:rPr/>
              <w:t xml:space="preserve">698750 </w:t>
            </w:r>
          </w:p>
        </w:tc>
        <w:tc>
          <w:tcPr>
            <w:tcW w:w="876" w:type="dxa"/>
            <w:tcBorders/>
            <w:vAlign w:val="center"/>
          </w:tcPr>
          <w:p>
            <w:pPr>
              <w:pStyle w:val="TableContents"/>
              <w:bidi w:val="0"/>
              <w:spacing w:before="0" w:after="283"/>
              <w:jc w:val="start"/>
              <w:rPr/>
            </w:pPr>
            <w:r>
              <w:rPr/>
              <w:t xml:space="preserve">698750 </w:t>
            </w:r>
          </w:p>
        </w:tc>
      </w:tr>
      <w:tr>
        <w:trPr/>
        <w:tc>
          <w:tcPr>
            <w:tcW w:w="1409" w:type="dxa"/>
            <w:tcBorders/>
            <w:vAlign w:val="center"/>
          </w:tcPr>
          <w:p>
            <w:pPr>
              <w:pStyle w:val="TableContents"/>
              <w:bidi w:val="0"/>
              <w:spacing w:before="0" w:after="283"/>
              <w:jc w:val="start"/>
              <w:rPr/>
            </w:pPr>
            <w:r>
              <w:rPr/>
              <w:t xml:space="preserve">Less: Variable Expenses </w:t>
            </w:r>
          </w:p>
        </w:tc>
        <w:tc>
          <w:tcPr>
            <w:tcW w:w="828" w:type="dxa"/>
            <w:tcBorders/>
            <w:vAlign w:val="center"/>
          </w:tcPr>
          <w:p>
            <w:pPr>
              <w:pStyle w:val="TableContents"/>
              <w:bidi w:val="0"/>
              <w:spacing w:before="0" w:after="283"/>
              <w:jc w:val="start"/>
              <w:rPr/>
            </w:pPr>
            <w:r>
              <w:rPr/>
              <w:t xml:space="preserve">27000 </w:t>
            </w:r>
          </w:p>
        </w:tc>
        <w:tc>
          <w:tcPr>
            <w:tcW w:w="831" w:type="dxa"/>
            <w:tcBorders/>
            <w:vAlign w:val="center"/>
          </w:tcPr>
          <w:p>
            <w:pPr>
              <w:pStyle w:val="TableContents"/>
              <w:bidi w:val="0"/>
              <w:spacing w:before="0" w:after="283"/>
              <w:jc w:val="start"/>
              <w:rPr/>
            </w:pPr>
            <w:r>
              <w:rPr/>
              <w:t xml:space="preserve">28823 </w:t>
            </w:r>
          </w:p>
        </w:tc>
        <w:tc>
          <w:tcPr>
            <w:tcW w:w="830" w:type="dxa"/>
            <w:tcBorders/>
            <w:vAlign w:val="center"/>
          </w:tcPr>
          <w:p>
            <w:pPr>
              <w:pStyle w:val="TableContents"/>
              <w:bidi w:val="0"/>
              <w:spacing w:before="0" w:after="283"/>
              <w:jc w:val="start"/>
              <w:rPr/>
            </w:pPr>
            <w:r>
              <w:rPr/>
              <w:t xml:space="preserve">30768 </w:t>
            </w:r>
          </w:p>
        </w:tc>
        <w:tc>
          <w:tcPr>
            <w:tcW w:w="831" w:type="dxa"/>
            <w:tcBorders/>
            <w:vAlign w:val="center"/>
          </w:tcPr>
          <w:p>
            <w:pPr>
              <w:pStyle w:val="TableContents"/>
              <w:bidi w:val="0"/>
              <w:spacing w:before="0" w:after="283"/>
              <w:jc w:val="start"/>
              <w:rPr/>
            </w:pPr>
            <w:r>
              <w:rPr/>
              <w:t xml:space="preserve">32845 </w:t>
            </w:r>
          </w:p>
        </w:tc>
        <w:tc>
          <w:tcPr>
            <w:tcW w:w="876" w:type="dxa"/>
            <w:tcBorders/>
            <w:vAlign w:val="center"/>
          </w:tcPr>
          <w:p>
            <w:pPr>
              <w:pStyle w:val="TableContents"/>
              <w:bidi w:val="0"/>
              <w:spacing w:before="0" w:after="283"/>
              <w:jc w:val="start"/>
              <w:rPr/>
            </w:pPr>
            <w:r>
              <w:rPr/>
              <w:t xml:space="preserve">35062 </w:t>
            </w:r>
          </w:p>
        </w:tc>
      </w:tr>
      <w:tr>
        <w:trPr/>
        <w:tc>
          <w:tcPr>
            <w:tcW w:w="1409" w:type="dxa"/>
            <w:tcBorders/>
            <w:vAlign w:val="center"/>
          </w:tcPr>
          <w:p>
            <w:pPr>
              <w:pStyle w:val="TableContents"/>
              <w:bidi w:val="0"/>
              <w:spacing w:before="0" w:after="283"/>
              <w:jc w:val="start"/>
              <w:rPr/>
            </w:pPr>
            <w:r>
              <w:rPr/>
              <w:t xml:space="preserve">Net cash inflow before capital allowance and depreciation and Taxes </w:t>
            </w:r>
          </w:p>
        </w:tc>
        <w:tc>
          <w:tcPr>
            <w:tcW w:w="828" w:type="dxa"/>
            <w:tcBorders/>
            <w:vAlign w:val="center"/>
          </w:tcPr>
          <w:p>
            <w:pPr>
              <w:pStyle w:val="TableContents"/>
              <w:bidi w:val="0"/>
              <w:spacing w:before="0" w:after="283"/>
              <w:jc w:val="start"/>
              <w:rPr/>
            </w:pPr>
            <w:r>
              <w:rPr/>
              <w:t xml:space="preserve">623000 </w:t>
            </w:r>
          </w:p>
        </w:tc>
        <w:tc>
          <w:tcPr>
            <w:tcW w:w="831" w:type="dxa"/>
            <w:tcBorders/>
            <w:vAlign w:val="center"/>
          </w:tcPr>
          <w:p>
            <w:pPr>
              <w:pStyle w:val="TableContents"/>
              <w:bidi w:val="0"/>
              <w:spacing w:before="0" w:after="283"/>
              <w:jc w:val="start"/>
              <w:rPr/>
            </w:pPr>
            <w:r>
              <w:rPr/>
              <w:t xml:space="preserve">669927 </w:t>
            </w:r>
          </w:p>
        </w:tc>
        <w:tc>
          <w:tcPr>
            <w:tcW w:w="830" w:type="dxa"/>
            <w:tcBorders/>
            <w:vAlign w:val="center"/>
          </w:tcPr>
          <w:p>
            <w:pPr>
              <w:pStyle w:val="TableContents"/>
              <w:bidi w:val="0"/>
              <w:spacing w:before="0" w:after="283"/>
              <w:jc w:val="start"/>
              <w:rPr/>
            </w:pPr>
            <w:r>
              <w:rPr/>
              <w:t xml:space="preserve">667982 </w:t>
            </w:r>
          </w:p>
        </w:tc>
        <w:tc>
          <w:tcPr>
            <w:tcW w:w="831" w:type="dxa"/>
            <w:tcBorders/>
            <w:vAlign w:val="center"/>
          </w:tcPr>
          <w:p>
            <w:pPr>
              <w:pStyle w:val="TableContents"/>
              <w:bidi w:val="0"/>
              <w:spacing w:before="0" w:after="283"/>
              <w:jc w:val="start"/>
              <w:rPr/>
            </w:pPr>
            <w:r>
              <w:rPr/>
              <w:t xml:space="preserve">665905 </w:t>
            </w:r>
          </w:p>
        </w:tc>
        <w:tc>
          <w:tcPr>
            <w:tcW w:w="876" w:type="dxa"/>
            <w:tcBorders/>
            <w:vAlign w:val="center"/>
          </w:tcPr>
          <w:p>
            <w:pPr>
              <w:pStyle w:val="TableContents"/>
              <w:bidi w:val="0"/>
              <w:spacing w:before="0" w:after="283"/>
              <w:jc w:val="start"/>
              <w:rPr/>
            </w:pPr>
            <w:r>
              <w:rPr/>
              <w:t xml:space="preserve">663688 </w:t>
            </w:r>
          </w:p>
        </w:tc>
      </w:tr>
      <w:tr>
        <w:trPr/>
        <w:tc>
          <w:tcPr>
            <w:tcW w:w="1409" w:type="dxa"/>
            <w:tcBorders/>
            <w:vAlign w:val="center"/>
          </w:tcPr>
          <w:p>
            <w:pPr>
              <w:pStyle w:val="TableContents"/>
              <w:bidi w:val="0"/>
              <w:spacing w:before="0" w:after="283"/>
              <w:jc w:val="start"/>
              <w:rPr/>
            </w:pPr>
            <w:r>
              <w:rPr/>
              <w:t xml:space="preserve">Less: Taxes@20% </w:t>
            </w:r>
          </w:p>
        </w:tc>
        <w:tc>
          <w:tcPr>
            <w:tcW w:w="828" w:type="dxa"/>
            <w:tcBorders/>
            <w:vAlign w:val="center"/>
          </w:tcPr>
          <w:p>
            <w:pPr>
              <w:pStyle w:val="TableContents"/>
              <w:bidi w:val="0"/>
              <w:spacing w:before="0" w:after="283"/>
              <w:jc w:val="start"/>
              <w:rPr/>
            </w:pPr>
            <w:r>
              <w:rPr/>
              <w:t xml:space="preserve">Nil </w:t>
            </w:r>
          </w:p>
        </w:tc>
        <w:tc>
          <w:tcPr>
            <w:tcW w:w="831" w:type="dxa"/>
            <w:tcBorders/>
            <w:vAlign w:val="center"/>
          </w:tcPr>
          <w:p>
            <w:pPr>
              <w:pStyle w:val="TableContents"/>
              <w:bidi w:val="0"/>
              <w:spacing w:before="0" w:after="283"/>
              <w:jc w:val="start"/>
              <w:rPr/>
            </w:pPr>
            <w:r>
              <w:rPr/>
              <w:t xml:space="preserve">124600 </w:t>
            </w:r>
          </w:p>
        </w:tc>
        <w:tc>
          <w:tcPr>
            <w:tcW w:w="830" w:type="dxa"/>
            <w:tcBorders/>
            <w:vAlign w:val="center"/>
          </w:tcPr>
          <w:p>
            <w:pPr>
              <w:pStyle w:val="TableContents"/>
              <w:bidi w:val="0"/>
              <w:spacing w:before="0" w:after="283"/>
              <w:jc w:val="start"/>
              <w:rPr/>
            </w:pPr>
            <w:r>
              <w:rPr/>
              <w:t xml:space="preserve">133985 </w:t>
            </w:r>
          </w:p>
        </w:tc>
        <w:tc>
          <w:tcPr>
            <w:tcW w:w="831" w:type="dxa"/>
            <w:tcBorders/>
            <w:vAlign w:val="center"/>
          </w:tcPr>
          <w:p>
            <w:pPr>
              <w:pStyle w:val="TableContents"/>
              <w:bidi w:val="0"/>
              <w:spacing w:before="0" w:after="283"/>
              <w:jc w:val="start"/>
              <w:rPr/>
            </w:pPr>
            <w:r>
              <w:rPr/>
              <w:t xml:space="preserve">133596 </w:t>
            </w:r>
          </w:p>
        </w:tc>
        <w:tc>
          <w:tcPr>
            <w:tcW w:w="876" w:type="dxa"/>
            <w:tcBorders/>
            <w:vAlign w:val="center"/>
          </w:tcPr>
          <w:p>
            <w:pPr>
              <w:pStyle w:val="TableContents"/>
              <w:bidi w:val="0"/>
              <w:spacing w:before="0" w:after="283"/>
              <w:jc w:val="start"/>
              <w:rPr/>
            </w:pPr>
            <w:r>
              <w:rPr/>
              <w:t xml:space="preserve">133181 </w:t>
            </w:r>
          </w:p>
        </w:tc>
      </w:tr>
      <w:tr>
        <w:trPr/>
        <w:tc>
          <w:tcPr>
            <w:tcW w:w="1409" w:type="dxa"/>
            <w:tcBorders/>
            <w:vAlign w:val="center"/>
          </w:tcPr>
          <w:p>
            <w:pPr>
              <w:pStyle w:val="TableContents"/>
              <w:bidi w:val="0"/>
              <w:spacing w:before="0" w:after="283"/>
              <w:jc w:val="start"/>
              <w:rPr/>
            </w:pPr>
            <w:r>
              <w:rPr/>
              <w:t xml:space="preserve">Net cash inflow after taxes </w:t>
            </w:r>
          </w:p>
        </w:tc>
        <w:tc>
          <w:tcPr>
            <w:tcW w:w="828" w:type="dxa"/>
            <w:tcBorders/>
            <w:vAlign w:val="center"/>
          </w:tcPr>
          <w:p>
            <w:pPr>
              <w:pStyle w:val="TableContents"/>
              <w:bidi w:val="0"/>
              <w:spacing w:before="0" w:after="283"/>
              <w:jc w:val="start"/>
              <w:rPr/>
            </w:pPr>
            <w:r>
              <w:rPr/>
              <w:t xml:space="preserve">623000 </w:t>
            </w:r>
          </w:p>
        </w:tc>
        <w:tc>
          <w:tcPr>
            <w:tcW w:w="831" w:type="dxa"/>
            <w:tcBorders/>
            <w:vAlign w:val="center"/>
          </w:tcPr>
          <w:p>
            <w:pPr>
              <w:pStyle w:val="TableContents"/>
              <w:bidi w:val="0"/>
              <w:spacing w:before="0" w:after="283"/>
              <w:jc w:val="start"/>
              <w:rPr/>
            </w:pPr>
            <w:r>
              <w:rPr/>
              <w:t xml:space="preserve">545327 </w:t>
            </w:r>
          </w:p>
        </w:tc>
        <w:tc>
          <w:tcPr>
            <w:tcW w:w="830" w:type="dxa"/>
            <w:tcBorders/>
            <w:vAlign w:val="center"/>
          </w:tcPr>
          <w:p>
            <w:pPr>
              <w:pStyle w:val="TableContents"/>
              <w:bidi w:val="0"/>
              <w:spacing w:before="0" w:after="283"/>
              <w:jc w:val="start"/>
              <w:rPr/>
            </w:pPr>
            <w:r>
              <w:rPr/>
              <w:t xml:space="preserve">533997 </w:t>
            </w:r>
          </w:p>
        </w:tc>
        <w:tc>
          <w:tcPr>
            <w:tcW w:w="831" w:type="dxa"/>
            <w:tcBorders/>
            <w:vAlign w:val="center"/>
          </w:tcPr>
          <w:p>
            <w:pPr>
              <w:pStyle w:val="TableContents"/>
              <w:bidi w:val="0"/>
              <w:spacing w:before="0" w:after="283"/>
              <w:jc w:val="start"/>
              <w:rPr/>
            </w:pPr>
            <w:r>
              <w:rPr/>
              <w:t xml:space="preserve">532309 </w:t>
            </w:r>
          </w:p>
        </w:tc>
        <w:tc>
          <w:tcPr>
            <w:tcW w:w="876" w:type="dxa"/>
            <w:tcBorders/>
            <w:vAlign w:val="center"/>
          </w:tcPr>
          <w:p>
            <w:pPr>
              <w:pStyle w:val="TableContents"/>
              <w:bidi w:val="0"/>
              <w:spacing w:before="0" w:after="283"/>
              <w:jc w:val="start"/>
              <w:rPr/>
            </w:pPr>
            <w:r>
              <w:rPr/>
              <w:t xml:space="preserve">530507 </w:t>
            </w:r>
          </w:p>
        </w:tc>
      </w:tr>
      <w:tr>
        <w:trPr/>
        <w:tc>
          <w:tcPr>
            <w:tcW w:w="1409" w:type="dxa"/>
            <w:tcBorders/>
            <w:vAlign w:val="center"/>
          </w:tcPr>
          <w:p>
            <w:pPr>
              <w:pStyle w:val="TableContents"/>
              <w:bidi w:val="0"/>
              <w:spacing w:before="0" w:after="283"/>
              <w:jc w:val="start"/>
              <w:rPr/>
            </w:pPr>
            <w:r>
              <w:rPr/>
              <w:t xml:space="preserve">Add: Depreciation tax shield@20% [See Note Below] </w:t>
            </w:r>
          </w:p>
        </w:tc>
        <w:tc>
          <w:tcPr>
            <w:tcW w:w="828" w:type="dxa"/>
            <w:tcBorders/>
            <w:vAlign w:val="center"/>
          </w:tcPr>
          <w:p>
            <w:pPr>
              <w:pStyle w:val="TableContents"/>
              <w:bidi w:val="0"/>
              <w:spacing w:before="0" w:after="283"/>
              <w:jc w:val="start"/>
              <w:rPr/>
            </w:pPr>
            <w:r>
              <w:rPr/>
              <w:t xml:space="preserve">75000 </w:t>
            </w:r>
          </w:p>
        </w:tc>
        <w:tc>
          <w:tcPr>
            <w:tcW w:w="831" w:type="dxa"/>
            <w:tcBorders/>
            <w:vAlign w:val="center"/>
          </w:tcPr>
          <w:p>
            <w:pPr>
              <w:pStyle w:val="TableContents"/>
              <w:bidi w:val="0"/>
              <w:spacing w:before="0" w:after="283"/>
              <w:jc w:val="start"/>
              <w:rPr/>
            </w:pPr>
            <w:r>
              <w:rPr/>
              <w:t xml:space="preserve">75000 </w:t>
            </w:r>
          </w:p>
        </w:tc>
        <w:tc>
          <w:tcPr>
            <w:tcW w:w="830" w:type="dxa"/>
            <w:tcBorders/>
            <w:vAlign w:val="center"/>
          </w:tcPr>
          <w:p>
            <w:pPr>
              <w:pStyle w:val="TableContents"/>
              <w:bidi w:val="0"/>
              <w:spacing w:before="0" w:after="283"/>
              <w:jc w:val="start"/>
              <w:rPr/>
            </w:pPr>
            <w:r>
              <w:rPr/>
              <w:t xml:space="preserve">75000 </w:t>
            </w:r>
          </w:p>
        </w:tc>
        <w:tc>
          <w:tcPr>
            <w:tcW w:w="831" w:type="dxa"/>
            <w:tcBorders/>
            <w:vAlign w:val="center"/>
          </w:tcPr>
          <w:p>
            <w:pPr>
              <w:pStyle w:val="TableContents"/>
              <w:bidi w:val="0"/>
              <w:spacing w:before="0" w:after="283"/>
              <w:jc w:val="start"/>
              <w:rPr/>
            </w:pPr>
            <w:r>
              <w:rPr/>
              <w:t xml:space="preserve">75000 </w:t>
            </w:r>
          </w:p>
        </w:tc>
        <w:tc>
          <w:tcPr>
            <w:tcW w:w="876" w:type="dxa"/>
            <w:tcBorders/>
            <w:vAlign w:val="center"/>
          </w:tcPr>
          <w:p>
            <w:pPr>
              <w:pStyle w:val="TableContents"/>
              <w:bidi w:val="0"/>
              <w:spacing w:before="0" w:after="283"/>
              <w:jc w:val="start"/>
              <w:rPr/>
            </w:pPr>
            <w:r>
              <w:rPr/>
              <w:t xml:space="preserve">75000 </w:t>
            </w:r>
          </w:p>
        </w:tc>
      </w:tr>
      <w:tr>
        <w:trPr/>
        <w:tc>
          <w:tcPr>
            <w:tcW w:w="1409" w:type="dxa"/>
            <w:tcBorders/>
            <w:vAlign w:val="center"/>
          </w:tcPr>
          <w:p>
            <w:pPr>
              <w:pStyle w:val="TableContents"/>
              <w:bidi w:val="0"/>
              <w:spacing w:before="0" w:after="283"/>
              <w:jc w:val="start"/>
              <w:rPr/>
            </w:pPr>
            <w:r>
              <w:rPr/>
              <w:t xml:space="preserve">Add: Capital Allowance Tax shield@20% [See Note Below] </w:t>
            </w:r>
          </w:p>
        </w:tc>
        <w:tc>
          <w:tcPr>
            <w:tcW w:w="828" w:type="dxa"/>
            <w:tcBorders/>
            <w:vAlign w:val="center"/>
          </w:tcPr>
          <w:p>
            <w:pPr>
              <w:pStyle w:val="TableContents"/>
              <w:bidi w:val="0"/>
              <w:spacing w:before="0" w:after="283"/>
              <w:jc w:val="start"/>
              <w:rPr/>
            </w:pPr>
            <w:r>
              <w:rPr/>
              <w:t xml:space="preserve">120000 </w:t>
            </w:r>
          </w:p>
        </w:tc>
        <w:tc>
          <w:tcPr>
            <w:tcW w:w="831" w:type="dxa"/>
            <w:tcBorders/>
            <w:vAlign w:val="center"/>
          </w:tcPr>
          <w:p>
            <w:pPr>
              <w:pStyle w:val="TableContents"/>
              <w:bidi w:val="0"/>
              <w:spacing w:before="0" w:after="283"/>
              <w:jc w:val="start"/>
              <w:rPr/>
            </w:pPr>
            <w:r>
              <w:rPr/>
              <w:t xml:space="preserve">78000 </w:t>
            </w:r>
          </w:p>
        </w:tc>
        <w:tc>
          <w:tcPr>
            <w:tcW w:w="830" w:type="dxa"/>
            <w:tcBorders/>
            <w:vAlign w:val="center"/>
          </w:tcPr>
          <w:p>
            <w:pPr>
              <w:pStyle w:val="TableContents"/>
              <w:bidi w:val="0"/>
              <w:spacing w:before="0" w:after="283"/>
              <w:jc w:val="start"/>
              <w:rPr/>
            </w:pPr>
            <w:r>
              <w:rPr/>
              <w:t xml:space="preserve">69000 </w:t>
            </w:r>
          </w:p>
        </w:tc>
        <w:tc>
          <w:tcPr>
            <w:tcW w:w="831" w:type="dxa"/>
            <w:tcBorders/>
            <w:vAlign w:val="center"/>
          </w:tcPr>
          <w:p>
            <w:pPr>
              <w:pStyle w:val="TableContents"/>
              <w:bidi w:val="0"/>
              <w:spacing w:before="0" w:after="283"/>
              <w:jc w:val="start"/>
              <w:rPr/>
            </w:pPr>
            <w:r>
              <w:rPr/>
              <w:t xml:space="preserve">60000 </w:t>
            </w:r>
          </w:p>
        </w:tc>
        <w:tc>
          <w:tcPr>
            <w:tcW w:w="876" w:type="dxa"/>
            <w:tcBorders/>
            <w:vAlign w:val="center"/>
          </w:tcPr>
          <w:p>
            <w:pPr>
              <w:pStyle w:val="TableContents"/>
              <w:bidi w:val="0"/>
              <w:spacing w:before="0" w:after="283"/>
              <w:jc w:val="start"/>
              <w:rPr/>
            </w:pPr>
            <w:r>
              <w:rPr/>
              <w:t xml:space="preserve">48000 </w:t>
            </w:r>
          </w:p>
        </w:tc>
      </w:tr>
      <w:tr>
        <w:trPr/>
        <w:tc>
          <w:tcPr>
            <w:tcW w:w="1409" w:type="dxa"/>
            <w:tcBorders/>
            <w:vAlign w:val="center"/>
          </w:tcPr>
          <w:p>
            <w:pPr>
              <w:pStyle w:val="TableContents"/>
              <w:bidi w:val="0"/>
              <w:spacing w:before="0" w:after="283"/>
              <w:jc w:val="start"/>
              <w:rPr/>
            </w:pPr>
            <w:r>
              <w:rPr/>
              <w:t xml:space="preserve">Net cash inflow after taxes after capital allowance tax shield and depreciation tax shield </w:t>
            </w:r>
          </w:p>
        </w:tc>
        <w:tc>
          <w:tcPr>
            <w:tcW w:w="828" w:type="dxa"/>
            <w:tcBorders/>
            <w:vAlign w:val="center"/>
          </w:tcPr>
          <w:p>
            <w:pPr>
              <w:pStyle w:val="TableContents"/>
              <w:bidi w:val="0"/>
              <w:spacing w:before="0" w:after="283"/>
              <w:jc w:val="start"/>
              <w:rPr/>
            </w:pPr>
            <w:r>
              <w:rPr/>
              <w:t xml:space="preserve">818000 </w:t>
            </w:r>
          </w:p>
        </w:tc>
        <w:tc>
          <w:tcPr>
            <w:tcW w:w="831" w:type="dxa"/>
            <w:tcBorders/>
            <w:vAlign w:val="center"/>
          </w:tcPr>
          <w:p>
            <w:pPr>
              <w:pStyle w:val="TableContents"/>
              <w:bidi w:val="0"/>
              <w:spacing w:before="0" w:after="283"/>
              <w:jc w:val="start"/>
              <w:rPr/>
            </w:pPr>
            <w:r>
              <w:rPr/>
              <w:t xml:space="preserve">698327 </w:t>
            </w:r>
          </w:p>
        </w:tc>
        <w:tc>
          <w:tcPr>
            <w:tcW w:w="830" w:type="dxa"/>
            <w:tcBorders/>
            <w:vAlign w:val="center"/>
          </w:tcPr>
          <w:p>
            <w:pPr>
              <w:pStyle w:val="TableContents"/>
              <w:bidi w:val="0"/>
              <w:spacing w:before="0" w:after="283"/>
              <w:jc w:val="start"/>
              <w:rPr/>
            </w:pPr>
            <w:r>
              <w:rPr/>
              <w:t xml:space="preserve">677997 </w:t>
            </w:r>
          </w:p>
        </w:tc>
        <w:tc>
          <w:tcPr>
            <w:tcW w:w="831" w:type="dxa"/>
            <w:tcBorders/>
            <w:vAlign w:val="center"/>
          </w:tcPr>
          <w:p>
            <w:pPr>
              <w:pStyle w:val="TableContents"/>
              <w:bidi w:val="0"/>
              <w:spacing w:before="0" w:after="283"/>
              <w:jc w:val="start"/>
              <w:rPr/>
            </w:pPr>
            <w:r>
              <w:rPr/>
              <w:t xml:space="preserve">667309 </w:t>
            </w:r>
          </w:p>
        </w:tc>
        <w:tc>
          <w:tcPr>
            <w:tcW w:w="876" w:type="dxa"/>
            <w:tcBorders/>
            <w:vAlign w:val="center"/>
          </w:tcPr>
          <w:p>
            <w:pPr>
              <w:pStyle w:val="TableContents"/>
              <w:bidi w:val="0"/>
              <w:spacing w:before="0" w:after="283"/>
              <w:jc w:val="start"/>
              <w:rPr/>
            </w:pPr>
            <w:r>
              <w:rPr/>
              <w:t xml:space="preserve">653507 </w:t>
            </w:r>
          </w:p>
        </w:tc>
      </w:tr>
    </w:tbl>
    <w:p>
      <w:pPr>
        <w:pStyle w:val="TextBody"/>
        <w:numPr>
          <w:ilvl w:val="0"/>
          <w:numId w:val="17"/>
        </w:numPr>
        <w:tabs>
          <w:tab w:val="clear" w:pos="1134"/>
          <w:tab w:val="left" w:pos="709" w:leader="none"/>
        </w:tabs>
        <w:bidi w:val="0"/>
        <w:ind w:start="709" w:hanging="283"/>
        <w:jc w:val="start"/>
        <w:rPr/>
      </w:pPr>
      <w:r>
        <w:rPr/>
        <w:t xml:space="preserve">Computation of Depreciation under straight method </w:t>
      </w:r>
    </w:p>
    <w:p>
      <w:pPr>
        <w:pStyle w:val="TextBody"/>
        <w:bidi w:val="0"/>
        <w:jc w:val="start"/>
        <w:rPr/>
      </w:pPr>
      <w:r>
        <w:rPr/>
        <w:t xml:space="preserve">Depreciation per annum= (Cost of the Asset-Scrap value) *Rate of Depreciation P. A </w:t>
      </w:r>
    </w:p>
    <w:p>
      <w:pPr>
        <w:pStyle w:val="TextBody"/>
        <w:bidi w:val="0"/>
        <w:spacing w:before="0" w:after="283"/>
        <w:jc w:val="start"/>
        <w:rPr/>
      </w:pPr>
      <w:r>
        <w:rPr/>
        <w:t xml:space="preserve">= ($2250000-$375000) *20/100 </w:t>
      </w:r>
    </w:p>
    <w:p>
      <w:pPr>
        <w:pStyle w:val="TextBody"/>
        <w:bidi w:val="0"/>
        <w:spacing w:before="0" w:after="283"/>
        <w:jc w:val="start"/>
        <w:rPr/>
      </w:pPr>
      <w:r>
        <w:rPr/>
        <w:t xml:space="preserve">=$375000 </w:t>
      </w:r>
    </w:p>
    <w:p>
      <w:pPr>
        <w:pStyle w:val="TextBody"/>
        <w:numPr>
          <w:ilvl w:val="0"/>
          <w:numId w:val="18"/>
        </w:numPr>
        <w:tabs>
          <w:tab w:val="clear" w:pos="1134"/>
          <w:tab w:val="left" w:pos="709" w:leader="none"/>
        </w:tabs>
        <w:bidi w:val="0"/>
        <w:ind w:start="709" w:hanging="283"/>
        <w:jc w:val="start"/>
        <w:rPr/>
      </w:pPr>
      <w:r>
        <w:rPr/>
        <w:t xml:space="preserve">Depreciation tax shield  = $375000*20/100 </w:t>
      </w:r>
    </w:p>
    <w:p>
      <w:pPr>
        <w:pStyle w:val="TextBody"/>
        <w:bidi w:val="0"/>
        <w:jc w:val="start"/>
        <w:rPr/>
      </w:pPr>
      <w:r>
        <w:rPr/>
        <w:t xml:space="preserve">=$75000 </w:t>
      </w:r>
    </w:p>
    <w:p>
      <w:pPr>
        <w:pStyle w:val="TextBody"/>
        <w:numPr>
          <w:ilvl w:val="0"/>
          <w:numId w:val="19"/>
        </w:numPr>
        <w:tabs>
          <w:tab w:val="clear" w:pos="1134"/>
          <w:tab w:val="left" w:pos="709" w:leader="none"/>
        </w:tabs>
        <w:bidi w:val="0"/>
        <w:ind w:start="709" w:hanging="283"/>
        <w:jc w:val="start"/>
        <w:rPr/>
      </w:pPr>
      <w:r>
        <w:rPr/>
        <w:t xml:space="preserve">Capital Allowance Tax Shield </w:t>
      </w:r>
    </w:p>
    <w:p>
      <w:pPr>
        <w:pStyle w:val="TextBody"/>
        <w:bidi w:val="0"/>
        <w:jc w:val="start"/>
        <w:rPr/>
      </w:pPr>
      <w:r>
        <w:rPr/>
        <w:t xml:space="preserve">Year I                   Year II               Year III             Year IV                 Year V </w:t>
      </w:r>
    </w:p>
    <w:p>
      <w:pPr>
        <w:pStyle w:val="TextBody"/>
        <w:bidi w:val="0"/>
        <w:spacing w:before="0" w:after="283"/>
        <w:jc w:val="start"/>
        <w:rPr/>
      </w:pPr>
      <w:r>
        <w:rPr/>
        <w:t xml:space="preserve">=$600000*20%   =$390000*20% =$345000*20%   =$300000*20% =$240000820% </w:t>
      </w:r>
    </w:p>
    <w:p>
      <w:pPr>
        <w:pStyle w:val="TextBody"/>
        <w:bidi w:val="0"/>
        <w:spacing w:before="0" w:after="283"/>
        <w:jc w:val="start"/>
        <w:rPr/>
      </w:pPr>
      <w:r>
        <w:rPr/>
        <w:t xml:space="preserve">=$120000             =$78000             =$69000              =$60000             =$48000 </w:t>
      </w:r>
    </w:p>
    <w:p>
      <w:pPr>
        <w:pStyle w:val="TextBody"/>
        <w:numPr>
          <w:ilvl w:val="0"/>
          <w:numId w:val="20"/>
        </w:numPr>
        <w:tabs>
          <w:tab w:val="clear" w:pos="1134"/>
          <w:tab w:val="left" w:pos="709" w:leader="none"/>
        </w:tabs>
        <w:bidi w:val="0"/>
        <w:ind w:start="709" w:hanging="283"/>
        <w:jc w:val="start"/>
        <w:rPr/>
      </w:pPr>
      <w:r>
        <w:rPr/>
        <w:t xml:space="preserve">Statement showing the After-tax cash inflow from the Project Wolf of AYR Co </w:t>
      </w:r>
    </w:p>
    <w:p>
      <w:pPr>
        <w:pStyle w:val="TextBody"/>
        <w:bidi w:val="0"/>
        <w:jc w:val="start"/>
        <w:rPr/>
      </w:pPr>
      <w:r>
        <w:rPr/>
        <w:t xml:space="preserve">(Figures in $) </w:t>
      </w:r>
    </w:p>
    <w:tbl>
      <w:tblPr>
        <w:tblW w:w="5605" w:type="dxa"/>
        <w:jc w:val="start"/>
        <w:tblInd w:w="0" w:type="dxa"/>
        <w:tblLayout w:type="fixed"/>
        <w:tblCellMar>
          <w:top w:w="28" w:type="dxa"/>
          <w:start w:w="28" w:type="dxa"/>
          <w:bottom w:w="28" w:type="dxa"/>
          <w:end w:w="28" w:type="dxa"/>
        </w:tblCellMar>
      </w:tblPr>
      <w:tblGrid>
        <w:gridCol w:w="1430"/>
        <w:gridCol w:w="826"/>
        <w:gridCol w:w="826"/>
        <w:gridCol w:w="826"/>
        <w:gridCol w:w="826"/>
        <w:gridCol w:w="871"/>
      </w:tblGrid>
      <w:tr>
        <w:trPr/>
        <w:tc>
          <w:tcPr>
            <w:tcW w:w="1430" w:type="dxa"/>
            <w:tcBorders/>
            <w:vAlign w:val="center"/>
          </w:tcPr>
          <w:p>
            <w:pPr>
              <w:pStyle w:val="TableContents"/>
              <w:bidi w:val="0"/>
              <w:spacing w:before="0" w:after="283"/>
              <w:jc w:val="start"/>
              <w:rPr/>
              <w:numPr>
                <w:ilvl w:val="0"/>
                <w:numId w:val="22"/>
              </w:numPr>
            </w:pPr>
            <w:r>
              <w:rPr/>
              <w:t xml:space="preserve">Particulars </w:t>
            </w:r>
          </w:p>
        </w:tc>
        <w:tc>
          <w:tcPr>
            <w:tcW w:w="826" w:type="dxa"/>
            <w:tcBorders/>
            <w:vAlign w:val="center"/>
          </w:tcPr>
          <w:p>
            <w:pPr>
              <w:pStyle w:val="TableContents"/>
              <w:bidi w:val="0"/>
              <w:spacing w:before="0" w:after="283"/>
              <w:jc w:val="start"/>
              <w:rPr/>
            </w:pPr>
            <w:r>
              <w:rPr/>
              <w:t xml:space="preserve">First year </w:t>
            </w:r>
          </w:p>
        </w:tc>
        <w:tc>
          <w:tcPr>
            <w:tcW w:w="826" w:type="dxa"/>
            <w:tcBorders/>
            <w:vAlign w:val="center"/>
          </w:tcPr>
          <w:p>
            <w:pPr>
              <w:pStyle w:val="TableContents"/>
              <w:bidi w:val="0"/>
              <w:spacing w:before="0" w:after="283"/>
              <w:jc w:val="start"/>
              <w:rPr/>
            </w:pPr>
            <w:r>
              <w:rPr/>
              <w:t xml:space="preserve">Second year </w:t>
            </w:r>
          </w:p>
        </w:tc>
        <w:tc>
          <w:tcPr>
            <w:tcW w:w="826" w:type="dxa"/>
            <w:tcBorders/>
            <w:vAlign w:val="center"/>
          </w:tcPr>
          <w:p>
            <w:pPr>
              <w:pStyle w:val="TableContents"/>
              <w:bidi w:val="0"/>
              <w:spacing w:before="0" w:after="283"/>
              <w:jc w:val="start"/>
              <w:rPr/>
            </w:pPr>
            <w:r>
              <w:rPr/>
              <w:t xml:space="preserve">Third Year </w:t>
            </w:r>
          </w:p>
        </w:tc>
        <w:tc>
          <w:tcPr>
            <w:tcW w:w="826" w:type="dxa"/>
            <w:tcBorders/>
            <w:vAlign w:val="center"/>
          </w:tcPr>
          <w:p>
            <w:pPr>
              <w:pStyle w:val="TableContents"/>
              <w:bidi w:val="0"/>
              <w:spacing w:before="0" w:after="283"/>
              <w:jc w:val="start"/>
              <w:rPr/>
            </w:pPr>
            <w:r>
              <w:rPr/>
              <w:t xml:space="preserve">Fourth Year </w:t>
            </w:r>
          </w:p>
        </w:tc>
        <w:tc>
          <w:tcPr>
            <w:tcW w:w="871" w:type="dxa"/>
            <w:tcBorders/>
            <w:vAlign w:val="center"/>
          </w:tcPr>
          <w:p>
            <w:pPr>
              <w:pStyle w:val="TableContents"/>
              <w:bidi w:val="0"/>
              <w:spacing w:before="0" w:after="283"/>
              <w:jc w:val="start"/>
              <w:rPr/>
            </w:pPr>
            <w:r>
              <w:rPr/>
              <w:t xml:space="preserve">Fifth Year </w:t>
            </w:r>
          </w:p>
        </w:tc>
      </w:tr>
      <w:tr>
        <w:trPr/>
        <w:tc>
          <w:tcPr>
            <w:tcW w:w="1430" w:type="dxa"/>
            <w:tcBorders/>
            <w:vAlign w:val="center"/>
          </w:tcPr>
          <w:p>
            <w:pPr>
              <w:pStyle w:val="TableContents"/>
              <w:bidi w:val="0"/>
              <w:spacing w:before="0" w:after="283"/>
              <w:jc w:val="start"/>
              <w:rPr/>
            </w:pPr>
            <w:r>
              <w:rPr/>
              <w:t xml:space="preserve">Cash Inflows </w:t>
            </w:r>
          </w:p>
        </w:tc>
        <w:tc>
          <w:tcPr>
            <w:tcW w:w="826" w:type="dxa"/>
            <w:tcBorders/>
            <w:vAlign w:val="center"/>
          </w:tcPr>
          <w:p>
            <w:pPr>
              <w:pStyle w:val="TableContents"/>
              <w:bidi w:val="0"/>
              <w:spacing w:before="0" w:after="283"/>
              <w:jc w:val="start"/>
              <w:rPr/>
            </w:pPr>
            <w:r>
              <w:rPr/>
              <w:t xml:space="preserve">955000 </w:t>
            </w:r>
          </w:p>
        </w:tc>
        <w:tc>
          <w:tcPr>
            <w:tcW w:w="826" w:type="dxa"/>
            <w:tcBorders/>
            <w:vAlign w:val="center"/>
          </w:tcPr>
          <w:p>
            <w:pPr>
              <w:pStyle w:val="TableContents"/>
              <w:bidi w:val="0"/>
              <w:spacing w:before="0" w:after="283"/>
              <w:jc w:val="start"/>
              <w:rPr/>
            </w:pPr>
            <w:r>
              <w:rPr/>
              <w:t xml:space="preserve">955000 </w:t>
            </w:r>
          </w:p>
        </w:tc>
        <w:tc>
          <w:tcPr>
            <w:tcW w:w="826" w:type="dxa"/>
            <w:tcBorders/>
            <w:vAlign w:val="center"/>
          </w:tcPr>
          <w:p>
            <w:pPr>
              <w:pStyle w:val="TableContents"/>
              <w:bidi w:val="0"/>
              <w:spacing w:before="0" w:after="283"/>
              <w:jc w:val="start"/>
              <w:rPr/>
            </w:pPr>
            <w:r>
              <w:rPr/>
              <w:t xml:space="preserve">955000 </w:t>
            </w:r>
          </w:p>
        </w:tc>
        <w:tc>
          <w:tcPr>
            <w:tcW w:w="826" w:type="dxa"/>
            <w:tcBorders/>
            <w:vAlign w:val="center"/>
          </w:tcPr>
          <w:p>
            <w:pPr>
              <w:pStyle w:val="TableContents"/>
              <w:bidi w:val="0"/>
              <w:spacing w:before="0" w:after="283"/>
              <w:jc w:val="start"/>
              <w:rPr/>
            </w:pPr>
            <w:r>
              <w:rPr/>
              <w:t xml:space="preserve">955000 </w:t>
            </w:r>
          </w:p>
        </w:tc>
        <w:tc>
          <w:tcPr>
            <w:tcW w:w="871" w:type="dxa"/>
            <w:tcBorders/>
            <w:vAlign w:val="center"/>
          </w:tcPr>
          <w:p>
            <w:pPr>
              <w:pStyle w:val="TableContents"/>
              <w:bidi w:val="0"/>
              <w:spacing w:before="0" w:after="283"/>
              <w:jc w:val="start"/>
              <w:rPr/>
            </w:pPr>
            <w:r>
              <w:rPr/>
              <w:t xml:space="preserve">955000 </w:t>
            </w:r>
          </w:p>
        </w:tc>
      </w:tr>
      <w:tr>
        <w:trPr/>
        <w:tc>
          <w:tcPr>
            <w:tcW w:w="1430" w:type="dxa"/>
            <w:tcBorders/>
            <w:vAlign w:val="center"/>
          </w:tcPr>
          <w:p>
            <w:pPr>
              <w:pStyle w:val="TableContents"/>
              <w:bidi w:val="0"/>
              <w:spacing w:before="0" w:after="283"/>
              <w:jc w:val="start"/>
              <w:rPr/>
            </w:pPr>
            <w:r>
              <w:rPr/>
              <w:t xml:space="preserve">Less: Variable Expenses </w:t>
            </w:r>
          </w:p>
        </w:tc>
        <w:tc>
          <w:tcPr>
            <w:tcW w:w="82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r>
      <w:tr>
        <w:trPr/>
        <w:tc>
          <w:tcPr>
            <w:tcW w:w="1430" w:type="dxa"/>
            <w:tcBorders/>
            <w:vAlign w:val="center"/>
          </w:tcPr>
          <w:p>
            <w:pPr>
              <w:pStyle w:val="TableContents"/>
              <w:bidi w:val="0"/>
              <w:spacing w:before="0" w:after="283"/>
              <w:jc w:val="start"/>
              <w:rPr/>
            </w:pPr>
            <w:r>
              <w:rPr/>
              <w:t xml:space="preserve">Material cost </w:t>
            </w:r>
          </w:p>
        </w:tc>
        <w:tc>
          <w:tcPr>
            <w:tcW w:w="826" w:type="dxa"/>
            <w:tcBorders/>
            <w:vAlign w:val="center"/>
          </w:tcPr>
          <w:p>
            <w:pPr>
              <w:pStyle w:val="TableContents"/>
              <w:bidi w:val="0"/>
              <w:spacing w:before="0" w:after="283"/>
              <w:jc w:val="start"/>
              <w:rPr/>
            </w:pPr>
            <w:r>
              <w:rPr/>
              <w:t xml:space="preserve">14400 </w:t>
            </w:r>
          </w:p>
        </w:tc>
        <w:tc>
          <w:tcPr>
            <w:tcW w:w="826" w:type="dxa"/>
            <w:tcBorders/>
            <w:vAlign w:val="center"/>
          </w:tcPr>
          <w:p>
            <w:pPr>
              <w:pStyle w:val="TableContents"/>
              <w:bidi w:val="0"/>
              <w:spacing w:before="0" w:after="283"/>
              <w:jc w:val="start"/>
              <w:rPr/>
            </w:pPr>
            <w:r>
              <w:rPr/>
              <w:t xml:space="preserve">15050 </w:t>
            </w:r>
          </w:p>
        </w:tc>
        <w:tc>
          <w:tcPr>
            <w:tcW w:w="826" w:type="dxa"/>
            <w:tcBorders/>
            <w:vAlign w:val="center"/>
          </w:tcPr>
          <w:p>
            <w:pPr>
              <w:pStyle w:val="TableContents"/>
              <w:bidi w:val="0"/>
              <w:spacing w:before="0" w:after="283"/>
              <w:jc w:val="start"/>
              <w:rPr/>
            </w:pPr>
            <w:r>
              <w:rPr/>
              <w:t xml:space="preserve">16179 </w:t>
            </w:r>
          </w:p>
        </w:tc>
        <w:tc>
          <w:tcPr>
            <w:tcW w:w="826" w:type="dxa"/>
            <w:tcBorders/>
            <w:vAlign w:val="center"/>
          </w:tcPr>
          <w:p>
            <w:pPr>
              <w:pStyle w:val="TableContents"/>
              <w:bidi w:val="0"/>
              <w:spacing w:before="0" w:after="283"/>
              <w:jc w:val="start"/>
              <w:rPr/>
            </w:pPr>
            <w:r>
              <w:rPr/>
              <w:t xml:space="preserve">17392 </w:t>
            </w:r>
          </w:p>
        </w:tc>
        <w:tc>
          <w:tcPr>
            <w:tcW w:w="871" w:type="dxa"/>
            <w:tcBorders/>
            <w:vAlign w:val="center"/>
          </w:tcPr>
          <w:p>
            <w:pPr>
              <w:pStyle w:val="TableContents"/>
              <w:bidi w:val="0"/>
              <w:spacing w:before="0" w:after="283"/>
              <w:jc w:val="start"/>
              <w:rPr/>
            </w:pPr>
            <w:r>
              <w:rPr/>
              <w:t xml:space="preserve">18697 </w:t>
            </w:r>
          </w:p>
        </w:tc>
      </w:tr>
      <w:tr>
        <w:trPr/>
        <w:tc>
          <w:tcPr>
            <w:tcW w:w="1430" w:type="dxa"/>
            <w:tcBorders/>
            <w:vAlign w:val="center"/>
          </w:tcPr>
          <w:p>
            <w:pPr>
              <w:pStyle w:val="TableContents"/>
              <w:bidi w:val="0"/>
              <w:spacing w:before="0" w:after="283"/>
              <w:jc w:val="start"/>
              <w:rPr/>
            </w:pPr>
            <w:r>
              <w:rPr/>
              <w:t xml:space="preserve">Other Expenses </w:t>
            </w:r>
          </w:p>
        </w:tc>
        <w:tc>
          <w:tcPr>
            <w:tcW w:w="826" w:type="dxa"/>
            <w:tcBorders/>
            <w:vAlign w:val="center"/>
          </w:tcPr>
          <w:p>
            <w:pPr>
              <w:pStyle w:val="TableContents"/>
              <w:bidi w:val="0"/>
              <w:spacing w:before="0" w:after="283"/>
              <w:jc w:val="start"/>
              <w:rPr/>
            </w:pPr>
            <w:r>
              <w:rPr/>
              <w:t xml:space="preserve">18000 </w:t>
            </w:r>
          </w:p>
        </w:tc>
        <w:tc>
          <w:tcPr>
            <w:tcW w:w="826" w:type="dxa"/>
            <w:tcBorders/>
            <w:vAlign w:val="center"/>
          </w:tcPr>
          <w:p>
            <w:pPr>
              <w:pStyle w:val="TableContents"/>
              <w:bidi w:val="0"/>
              <w:spacing w:before="0" w:after="283"/>
              <w:jc w:val="start"/>
              <w:rPr/>
            </w:pPr>
            <w:r>
              <w:rPr/>
              <w:t xml:space="preserve">16650 </w:t>
            </w:r>
          </w:p>
        </w:tc>
        <w:tc>
          <w:tcPr>
            <w:tcW w:w="826" w:type="dxa"/>
            <w:tcBorders/>
            <w:vAlign w:val="center"/>
          </w:tcPr>
          <w:p>
            <w:pPr>
              <w:pStyle w:val="TableContents"/>
              <w:bidi w:val="0"/>
              <w:spacing w:before="0" w:after="283"/>
              <w:jc w:val="start"/>
              <w:rPr/>
            </w:pPr>
            <w:r>
              <w:rPr/>
              <w:t xml:space="preserve">16650 </w:t>
            </w:r>
          </w:p>
        </w:tc>
        <w:tc>
          <w:tcPr>
            <w:tcW w:w="826" w:type="dxa"/>
            <w:tcBorders/>
            <w:vAlign w:val="center"/>
          </w:tcPr>
          <w:p>
            <w:pPr>
              <w:pStyle w:val="TableContents"/>
              <w:bidi w:val="0"/>
              <w:spacing w:before="0" w:after="283"/>
              <w:jc w:val="start"/>
              <w:rPr/>
            </w:pPr>
            <w:r>
              <w:rPr/>
              <w:t xml:space="preserve">16650 </w:t>
            </w:r>
          </w:p>
        </w:tc>
        <w:tc>
          <w:tcPr>
            <w:tcW w:w="871" w:type="dxa"/>
            <w:tcBorders/>
            <w:vAlign w:val="center"/>
          </w:tcPr>
          <w:p>
            <w:pPr>
              <w:pStyle w:val="TableContents"/>
              <w:bidi w:val="0"/>
              <w:spacing w:before="0" w:after="283"/>
              <w:jc w:val="start"/>
              <w:rPr/>
            </w:pPr>
            <w:r>
              <w:rPr/>
              <w:t xml:space="preserve">16650 </w:t>
            </w:r>
          </w:p>
        </w:tc>
      </w:tr>
      <w:tr>
        <w:trPr/>
        <w:tc>
          <w:tcPr>
            <w:tcW w:w="1430" w:type="dxa"/>
            <w:tcBorders/>
            <w:vAlign w:val="center"/>
          </w:tcPr>
          <w:p>
            <w:pPr>
              <w:pStyle w:val="TableContents"/>
              <w:bidi w:val="0"/>
              <w:spacing w:before="0" w:after="283"/>
              <w:jc w:val="start"/>
              <w:rPr/>
            </w:pPr>
            <w:r>
              <w:rPr/>
              <w:t xml:space="preserve">Net cash flow before taxes </w:t>
            </w:r>
          </w:p>
        </w:tc>
        <w:tc>
          <w:tcPr>
            <w:tcW w:w="826" w:type="dxa"/>
            <w:tcBorders/>
            <w:vAlign w:val="center"/>
          </w:tcPr>
          <w:p>
            <w:pPr>
              <w:pStyle w:val="TableContents"/>
              <w:bidi w:val="0"/>
              <w:spacing w:before="0" w:after="283"/>
              <w:jc w:val="start"/>
              <w:rPr/>
            </w:pPr>
            <w:r>
              <w:rPr/>
              <w:t xml:space="preserve">923000 </w:t>
            </w:r>
          </w:p>
        </w:tc>
        <w:tc>
          <w:tcPr>
            <w:tcW w:w="826" w:type="dxa"/>
            <w:tcBorders/>
            <w:vAlign w:val="center"/>
          </w:tcPr>
          <w:p>
            <w:pPr>
              <w:pStyle w:val="TableContents"/>
              <w:bidi w:val="0"/>
              <w:spacing w:before="0" w:after="283"/>
              <w:jc w:val="start"/>
              <w:rPr/>
            </w:pPr>
            <w:r>
              <w:rPr/>
              <w:t xml:space="preserve">923300 </w:t>
            </w:r>
          </w:p>
        </w:tc>
        <w:tc>
          <w:tcPr>
            <w:tcW w:w="826" w:type="dxa"/>
            <w:tcBorders/>
            <w:vAlign w:val="center"/>
          </w:tcPr>
          <w:p>
            <w:pPr>
              <w:pStyle w:val="TableContents"/>
              <w:bidi w:val="0"/>
              <w:spacing w:before="0" w:after="283"/>
              <w:jc w:val="start"/>
              <w:rPr/>
            </w:pPr>
            <w:r>
              <w:rPr/>
              <w:t xml:space="preserve">922171 </w:t>
            </w:r>
          </w:p>
        </w:tc>
        <w:tc>
          <w:tcPr>
            <w:tcW w:w="826" w:type="dxa"/>
            <w:tcBorders/>
            <w:vAlign w:val="center"/>
          </w:tcPr>
          <w:p>
            <w:pPr>
              <w:pStyle w:val="TableContents"/>
              <w:bidi w:val="0"/>
              <w:spacing w:before="0" w:after="283"/>
              <w:jc w:val="start"/>
              <w:rPr/>
            </w:pPr>
            <w:r>
              <w:rPr/>
              <w:t xml:space="preserve">920958 </w:t>
            </w:r>
          </w:p>
        </w:tc>
        <w:tc>
          <w:tcPr>
            <w:tcW w:w="871" w:type="dxa"/>
            <w:tcBorders/>
            <w:vAlign w:val="center"/>
          </w:tcPr>
          <w:p>
            <w:pPr>
              <w:pStyle w:val="TableContents"/>
              <w:bidi w:val="0"/>
              <w:spacing w:before="0" w:after="283"/>
              <w:jc w:val="start"/>
              <w:rPr/>
            </w:pPr>
            <w:r>
              <w:rPr/>
              <w:t xml:space="preserve">919653 </w:t>
            </w:r>
          </w:p>
        </w:tc>
      </w:tr>
      <w:tr>
        <w:trPr/>
        <w:tc>
          <w:tcPr>
            <w:tcW w:w="1430" w:type="dxa"/>
            <w:tcBorders/>
            <w:vAlign w:val="center"/>
          </w:tcPr>
          <w:p>
            <w:pPr>
              <w:pStyle w:val="TableContents"/>
              <w:bidi w:val="0"/>
              <w:spacing w:before="0" w:after="283"/>
              <w:jc w:val="start"/>
              <w:rPr/>
            </w:pPr>
            <w:r>
              <w:rPr/>
              <w:t xml:space="preserve">Less: Taxes @20% </w:t>
            </w:r>
          </w:p>
        </w:tc>
        <w:tc>
          <w:tcPr>
            <w:tcW w:w="826" w:type="dxa"/>
            <w:tcBorders/>
            <w:vAlign w:val="center"/>
          </w:tcPr>
          <w:p>
            <w:pPr>
              <w:pStyle w:val="TableContents"/>
              <w:bidi w:val="0"/>
              <w:spacing w:before="0" w:after="283"/>
              <w:jc w:val="start"/>
              <w:rPr/>
            </w:pPr>
            <w:r>
              <w:rPr/>
              <w:t xml:space="preserve">Nil </w:t>
            </w:r>
          </w:p>
        </w:tc>
        <w:tc>
          <w:tcPr>
            <w:tcW w:w="826" w:type="dxa"/>
            <w:tcBorders/>
            <w:vAlign w:val="center"/>
          </w:tcPr>
          <w:p>
            <w:pPr>
              <w:pStyle w:val="TableContents"/>
              <w:bidi w:val="0"/>
              <w:spacing w:before="0" w:after="283"/>
              <w:jc w:val="start"/>
              <w:rPr/>
            </w:pPr>
            <w:r>
              <w:rPr/>
              <w:t xml:space="preserve">184600 </w:t>
            </w:r>
          </w:p>
        </w:tc>
        <w:tc>
          <w:tcPr>
            <w:tcW w:w="826" w:type="dxa"/>
            <w:tcBorders/>
            <w:vAlign w:val="center"/>
          </w:tcPr>
          <w:p>
            <w:pPr>
              <w:pStyle w:val="TableContents"/>
              <w:bidi w:val="0"/>
              <w:spacing w:before="0" w:after="283"/>
              <w:jc w:val="start"/>
              <w:rPr/>
            </w:pPr>
            <w:r>
              <w:rPr/>
              <w:t xml:space="preserve">184660 </w:t>
            </w:r>
          </w:p>
        </w:tc>
        <w:tc>
          <w:tcPr>
            <w:tcW w:w="826" w:type="dxa"/>
            <w:tcBorders/>
            <w:vAlign w:val="center"/>
          </w:tcPr>
          <w:p>
            <w:pPr>
              <w:pStyle w:val="TableContents"/>
              <w:bidi w:val="0"/>
              <w:spacing w:before="0" w:after="283"/>
              <w:jc w:val="start"/>
              <w:rPr/>
            </w:pPr>
            <w:r>
              <w:rPr/>
              <w:t xml:space="preserve">184434 </w:t>
            </w:r>
          </w:p>
        </w:tc>
        <w:tc>
          <w:tcPr>
            <w:tcW w:w="871" w:type="dxa"/>
            <w:tcBorders/>
            <w:vAlign w:val="center"/>
          </w:tcPr>
          <w:p>
            <w:pPr>
              <w:pStyle w:val="TableContents"/>
              <w:bidi w:val="0"/>
              <w:spacing w:before="0" w:after="283"/>
              <w:jc w:val="start"/>
              <w:rPr/>
            </w:pPr>
            <w:r>
              <w:rPr/>
              <w:t xml:space="preserve">184192 </w:t>
            </w:r>
          </w:p>
        </w:tc>
      </w:tr>
      <w:tr>
        <w:trPr/>
        <w:tc>
          <w:tcPr>
            <w:tcW w:w="1430" w:type="dxa"/>
            <w:tcBorders/>
            <w:vAlign w:val="center"/>
          </w:tcPr>
          <w:p>
            <w:pPr>
              <w:pStyle w:val="TableContents"/>
              <w:bidi w:val="0"/>
              <w:spacing w:before="0" w:after="283"/>
              <w:jc w:val="start"/>
              <w:rPr/>
            </w:pPr>
            <w:r>
              <w:rPr/>
              <w:t xml:space="preserve">Net cash inflow after taxes </w:t>
            </w:r>
          </w:p>
        </w:tc>
        <w:tc>
          <w:tcPr>
            <w:tcW w:w="826" w:type="dxa"/>
            <w:tcBorders/>
            <w:vAlign w:val="center"/>
          </w:tcPr>
          <w:p>
            <w:pPr>
              <w:pStyle w:val="TableContents"/>
              <w:bidi w:val="0"/>
              <w:spacing w:before="0" w:after="283"/>
              <w:jc w:val="start"/>
              <w:rPr/>
            </w:pPr>
            <w:r>
              <w:rPr/>
              <w:t xml:space="preserve">923000 </w:t>
            </w:r>
          </w:p>
        </w:tc>
        <w:tc>
          <w:tcPr>
            <w:tcW w:w="826" w:type="dxa"/>
            <w:tcBorders/>
            <w:vAlign w:val="center"/>
          </w:tcPr>
          <w:p>
            <w:pPr>
              <w:pStyle w:val="TableContents"/>
              <w:bidi w:val="0"/>
              <w:spacing w:before="0" w:after="283"/>
              <w:jc w:val="start"/>
              <w:rPr/>
            </w:pPr>
            <w:r>
              <w:rPr/>
              <w:t xml:space="preserve">738700 </w:t>
            </w:r>
          </w:p>
        </w:tc>
        <w:tc>
          <w:tcPr>
            <w:tcW w:w="826" w:type="dxa"/>
            <w:tcBorders/>
            <w:vAlign w:val="center"/>
          </w:tcPr>
          <w:p>
            <w:pPr>
              <w:pStyle w:val="TableContents"/>
              <w:bidi w:val="0"/>
              <w:spacing w:before="0" w:after="283"/>
              <w:jc w:val="start"/>
              <w:rPr/>
            </w:pPr>
            <w:r>
              <w:rPr/>
              <w:t xml:space="preserve">737511 </w:t>
            </w:r>
          </w:p>
        </w:tc>
        <w:tc>
          <w:tcPr>
            <w:tcW w:w="826" w:type="dxa"/>
            <w:tcBorders/>
            <w:vAlign w:val="center"/>
          </w:tcPr>
          <w:p>
            <w:pPr>
              <w:pStyle w:val="TableContents"/>
              <w:bidi w:val="0"/>
              <w:spacing w:before="0" w:after="283"/>
              <w:jc w:val="start"/>
              <w:rPr/>
            </w:pPr>
            <w:r>
              <w:rPr/>
              <w:t xml:space="preserve">736524 </w:t>
            </w:r>
          </w:p>
        </w:tc>
        <w:tc>
          <w:tcPr>
            <w:tcW w:w="871" w:type="dxa"/>
            <w:tcBorders/>
            <w:vAlign w:val="center"/>
          </w:tcPr>
          <w:p>
            <w:pPr>
              <w:pStyle w:val="TableContents"/>
              <w:bidi w:val="0"/>
              <w:spacing w:before="0" w:after="283"/>
              <w:jc w:val="start"/>
              <w:rPr/>
            </w:pPr>
            <w:r>
              <w:rPr/>
              <w:t xml:space="preserve">735461 </w:t>
            </w:r>
          </w:p>
        </w:tc>
      </w:tr>
      <w:tr>
        <w:trPr/>
        <w:tc>
          <w:tcPr>
            <w:tcW w:w="1430" w:type="dxa"/>
            <w:tcBorders/>
            <w:vAlign w:val="center"/>
          </w:tcPr>
          <w:p>
            <w:pPr>
              <w:pStyle w:val="TableContents"/>
              <w:numPr>
                <w:ilvl w:val="0"/>
                <w:numId w:val="21"/>
              </w:numPr>
              <w:tabs>
                <w:tab w:val="clear" w:pos="1134"/>
                <w:tab w:val="left" w:pos="709" w:leader="none"/>
              </w:tabs>
              <w:bidi w:val="0"/>
              <w:spacing w:before="0" w:after="283"/>
              <w:ind w:start="709" w:hanging="283"/>
              <w:jc w:val="start"/>
              <w:rPr/>
            </w:pPr>
            <w:r>
              <w:rPr/>
              <w:t xml:space="preserve">Add: Depreciation Tax Shield </w:t>
            </w:r>
          </w:p>
        </w:tc>
        <w:tc>
          <w:tcPr>
            <w:tcW w:w="826" w:type="dxa"/>
            <w:tcBorders/>
            <w:vAlign w:val="center"/>
          </w:tcPr>
          <w:p>
            <w:pPr>
              <w:pStyle w:val="TableContents"/>
              <w:bidi w:val="0"/>
              <w:spacing w:before="0" w:after="283"/>
              <w:jc w:val="start"/>
              <w:rPr/>
            </w:pPr>
            <w:r>
              <w:rPr/>
              <w:t xml:space="preserve">90000 </w:t>
            </w:r>
          </w:p>
        </w:tc>
        <w:tc>
          <w:tcPr>
            <w:tcW w:w="826" w:type="dxa"/>
            <w:tcBorders/>
            <w:vAlign w:val="center"/>
          </w:tcPr>
          <w:p>
            <w:pPr>
              <w:pStyle w:val="TableContents"/>
              <w:bidi w:val="0"/>
              <w:spacing w:before="0" w:after="283"/>
              <w:jc w:val="start"/>
              <w:rPr/>
            </w:pPr>
            <w:r>
              <w:rPr/>
              <w:t xml:space="preserve">90000 </w:t>
            </w:r>
          </w:p>
        </w:tc>
        <w:tc>
          <w:tcPr>
            <w:tcW w:w="826" w:type="dxa"/>
            <w:tcBorders/>
            <w:vAlign w:val="center"/>
          </w:tcPr>
          <w:p>
            <w:pPr>
              <w:pStyle w:val="TableContents"/>
              <w:bidi w:val="0"/>
              <w:spacing w:before="0" w:after="283"/>
              <w:jc w:val="start"/>
              <w:rPr/>
            </w:pPr>
            <w:r>
              <w:rPr/>
              <w:t xml:space="preserve">90000 </w:t>
            </w:r>
          </w:p>
        </w:tc>
        <w:tc>
          <w:tcPr>
            <w:tcW w:w="826" w:type="dxa"/>
            <w:tcBorders/>
            <w:vAlign w:val="center"/>
          </w:tcPr>
          <w:p>
            <w:pPr>
              <w:pStyle w:val="TableContents"/>
              <w:bidi w:val="0"/>
              <w:spacing w:before="0" w:after="283"/>
              <w:jc w:val="start"/>
              <w:rPr/>
            </w:pPr>
            <w:r>
              <w:rPr/>
              <w:t xml:space="preserve">90000 </w:t>
            </w:r>
          </w:p>
        </w:tc>
        <w:tc>
          <w:tcPr>
            <w:tcW w:w="871" w:type="dxa"/>
            <w:tcBorders/>
            <w:vAlign w:val="center"/>
          </w:tcPr>
          <w:p>
            <w:pPr>
              <w:pStyle w:val="TableContents"/>
              <w:bidi w:val="0"/>
              <w:spacing w:before="0" w:after="283"/>
              <w:jc w:val="start"/>
              <w:rPr/>
            </w:pPr>
            <w:r>
              <w:rPr/>
              <w:t xml:space="preserve">90000 </w:t>
            </w:r>
          </w:p>
        </w:tc>
      </w:tr>
      <w:tr>
        <w:trPr/>
        <w:tc>
          <w:tcPr>
            <w:tcW w:w="1430" w:type="dxa"/>
            <w:tcBorders/>
            <w:vAlign w:val="center"/>
          </w:tcPr>
          <w:p>
            <w:pPr>
              <w:pStyle w:val="TableContents"/>
              <w:bidi w:val="0"/>
              <w:spacing w:before="0" w:after="283"/>
              <w:jc w:val="start"/>
              <w:rPr/>
            </w:pPr>
            <w:r>
              <w:rPr/>
              <w:t xml:space="preserve">Net cash inflow after taxes after and depreciation tax shield </w:t>
            </w:r>
          </w:p>
        </w:tc>
        <w:tc>
          <w:tcPr>
            <w:tcW w:w="826" w:type="dxa"/>
            <w:tcBorders/>
            <w:vAlign w:val="center"/>
          </w:tcPr>
          <w:p>
            <w:pPr>
              <w:pStyle w:val="TableContents"/>
              <w:bidi w:val="0"/>
              <w:spacing w:before="0" w:after="283"/>
              <w:jc w:val="start"/>
              <w:rPr/>
            </w:pPr>
            <w:r>
              <w:rPr/>
              <w:t xml:space="preserve">833000 </w:t>
            </w:r>
          </w:p>
        </w:tc>
        <w:tc>
          <w:tcPr>
            <w:tcW w:w="826" w:type="dxa"/>
            <w:tcBorders/>
            <w:vAlign w:val="center"/>
          </w:tcPr>
          <w:p>
            <w:pPr>
              <w:pStyle w:val="TableContents"/>
              <w:bidi w:val="0"/>
              <w:spacing w:before="0" w:after="283"/>
              <w:jc w:val="start"/>
              <w:rPr/>
            </w:pPr>
            <w:r>
              <w:rPr/>
              <w:t xml:space="preserve">648700 </w:t>
            </w:r>
          </w:p>
        </w:tc>
        <w:tc>
          <w:tcPr>
            <w:tcW w:w="826" w:type="dxa"/>
            <w:tcBorders/>
            <w:vAlign w:val="center"/>
          </w:tcPr>
          <w:p>
            <w:pPr>
              <w:pStyle w:val="TableContents"/>
              <w:bidi w:val="0"/>
              <w:spacing w:before="0" w:after="283"/>
              <w:jc w:val="start"/>
              <w:rPr/>
            </w:pPr>
            <w:r>
              <w:rPr/>
              <w:t xml:space="preserve">647511 </w:t>
            </w:r>
          </w:p>
        </w:tc>
        <w:tc>
          <w:tcPr>
            <w:tcW w:w="826" w:type="dxa"/>
            <w:tcBorders/>
            <w:vAlign w:val="center"/>
          </w:tcPr>
          <w:p>
            <w:pPr>
              <w:pStyle w:val="TableContents"/>
              <w:bidi w:val="0"/>
              <w:spacing w:before="0" w:after="283"/>
              <w:jc w:val="start"/>
              <w:rPr/>
            </w:pPr>
            <w:r>
              <w:rPr/>
              <w:t xml:space="preserve">646524 </w:t>
            </w:r>
          </w:p>
        </w:tc>
        <w:tc>
          <w:tcPr>
            <w:tcW w:w="871" w:type="dxa"/>
            <w:tcBorders/>
            <w:vAlign w:val="center"/>
          </w:tcPr>
          <w:p>
            <w:pPr>
              <w:pStyle w:val="TableContents"/>
              <w:bidi w:val="0"/>
              <w:spacing w:before="0" w:after="283"/>
              <w:jc w:val="start"/>
              <w:rPr/>
            </w:pPr>
            <w:r>
              <w:rPr/>
              <w:t xml:space="preserve">645461 </w:t>
            </w:r>
          </w:p>
        </w:tc>
      </w:tr>
    </w:tbl>
    <w:p>
      <w:pPr>
        <w:pStyle w:val="TextBody"/>
        <w:numPr>
          <w:ilvl w:val="0"/>
          <w:numId w:val="23"/>
        </w:numPr>
        <w:tabs>
          <w:tab w:val="clear" w:pos="1134"/>
          <w:tab w:val="left" w:pos="709" w:leader="none"/>
        </w:tabs>
        <w:bidi w:val="0"/>
        <w:ind w:start="709" w:hanging="283"/>
        <w:jc w:val="start"/>
        <w:rPr/>
      </w:pPr>
      <w:r>
        <w:rPr/>
        <w:t xml:space="preserve">Calculation of Depreciation=$2250000*20/100 </w:t>
      </w:r>
    </w:p>
    <w:p>
      <w:pPr>
        <w:pStyle w:val="TextBody"/>
        <w:bidi w:val="0"/>
        <w:jc w:val="start"/>
        <w:rPr/>
      </w:pPr>
      <w:r>
        <w:rPr/>
        <w:t xml:space="preserve">=$450000 </w:t>
      </w:r>
    </w:p>
    <w:p>
      <w:pPr>
        <w:pStyle w:val="TextBody"/>
        <w:numPr>
          <w:ilvl w:val="0"/>
          <w:numId w:val="24"/>
        </w:numPr>
        <w:tabs>
          <w:tab w:val="clear" w:pos="1134"/>
          <w:tab w:val="left" w:pos="709" w:leader="none"/>
        </w:tabs>
        <w:bidi w:val="0"/>
        <w:ind w:start="709" w:hanging="283"/>
        <w:jc w:val="start"/>
        <w:rPr/>
      </w:pPr>
      <w:r>
        <w:rPr/>
        <w:t xml:space="preserve">Depreciation Tax Shield </w:t>
      </w:r>
    </w:p>
    <w:p>
      <w:pPr>
        <w:pStyle w:val="TextBody"/>
        <w:bidi w:val="0"/>
        <w:jc w:val="start"/>
        <w:rPr/>
      </w:pPr>
      <w:r>
        <w:rPr/>
        <w:t xml:space="preserve">=$450000*20/100 </w:t>
      </w:r>
    </w:p>
    <w:p>
      <w:pPr>
        <w:pStyle w:val="TextBody"/>
        <w:bidi w:val="0"/>
        <w:spacing w:before="0" w:after="283"/>
        <w:jc w:val="start"/>
        <w:rPr/>
      </w:pPr>
      <w:r>
        <w:rPr/>
        <w:t xml:space="preserve">=$90000 </w:t>
      </w:r>
    </w:p>
    <w:p>
      <w:pPr>
        <w:pStyle w:val="Heading2"/>
        <w:bidi w:val="0"/>
        <w:jc w:val="start"/>
        <w:rPr/>
      </w:pPr>
      <w:r>
        <w:rPr/>
        <w:t xml:space="preserve">References </w:t>
      </w:r>
    </w:p>
    <w:p>
      <w:pPr>
        <w:pStyle w:val="TextBody"/>
        <w:numPr>
          <w:ilvl w:val="0"/>
          <w:numId w:val="25"/>
        </w:numPr>
        <w:tabs>
          <w:tab w:val="clear" w:pos="1134"/>
          <w:tab w:val="left" w:pos="709" w:leader="none"/>
        </w:tabs>
        <w:bidi w:val="0"/>
        <w:spacing w:before="0" w:after="0"/>
        <w:ind w:start="709" w:hanging="283"/>
        <w:jc w:val="start"/>
        <w:rPr/>
      </w:pPr>
      <w:r>
        <w:rPr/>
        <w:t xml:space="preserve">Abdullah, W. &amp; Said, R., 2017. Religious, Educational Background and Corporate Crime Tolerance by Accounting Professionals. </w:t>
      </w:r>
      <w:r>
        <w:rPr>
          <w:rStyle w:val="Emphasis"/>
        </w:rPr>
        <w:t xml:space="preserve">State-of-the-Art Theories and Empirical Evidence, </w:t>
      </w:r>
      <w:r>
        <w:rPr/>
        <w:t xml:space="preserve">pp. 129-149. </w:t>
      </w:r>
    </w:p>
    <w:p>
      <w:pPr>
        <w:pStyle w:val="TextBody"/>
        <w:numPr>
          <w:ilvl w:val="0"/>
          <w:numId w:val="25"/>
        </w:numPr>
        <w:tabs>
          <w:tab w:val="clear" w:pos="1134"/>
          <w:tab w:val="left" w:pos="709" w:leader="none"/>
        </w:tabs>
        <w:bidi w:val="0"/>
        <w:spacing w:before="0" w:after="0"/>
        <w:ind w:start="709" w:hanging="283"/>
        <w:jc w:val="start"/>
        <w:rPr/>
      </w:pPr>
      <w:r>
        <w:rPr/>
        <w:t xml:space="preserve">Boghossian, P., 2017. The Socratic method, defeasibility, and doxastic responsibility. </w:t>
      </w:r>
      <w:r>
        <w:rPr>
          <w:rStyle w:val="Emphasis"/>
        </w:rPr>
        <w:t xml:space="preserve">Educational Philosophy and Theory, </w:t>
      </w:r>
      <w:r>
        <w:rPr/>
        <w:t xml:space="preserve">50(3), pp. 244-253. </w:t>
      </w:r>
    </w:p>
    <w:p>
      <w:pPr>
        <w:pStyle w:val="TextBody"/>
        <w:numPr>
          <w:ilvl w:val="0"/>
          <w:numId w:val="25"/>
        </w:numPr>
        <w:tabs>
          <w:tab w:val="clear" w:pos="1134"/>
          <w:tab w:val="left" w:pos="709" w:leader="none"/>
        </w:tabs>
        <w:bidi w:val="0"/>
        <w:spacing w:before="0" w:after="0"/>
        <w:ind w:start="709" w:hanging="283"/>
        <w:jc w:val="start"/>
        <w:rPr/>
      </w:pPr>
      <w:r>
        <w:rPr/>
        <w:t xml:space="preserve">Cayon, E., Thorp, S. &amp; Wu, E., 2017. Immunity and infection: Emerging and developed market sovereign spreads over the Global Financial Crisis. </w:t>
      </w:r>
      <w:r>
        <w:rPr>
          <w:rStyle w:val="Emphasis"/>
        </w:rPr>
        <w:t xml:space="preserve">Emerging Markets Review. </w:t>
      </w:r>
    </w:p>
    <w:p>
      <w:pPr>
        <w:pStyle w:val="TextBody"/>
        <w:numPr>
          <w:ilvl w:val="0"/>
          <w:numId w:val="25"/>
        </w:numPr>
        <w:tabs>
          <w:tab w:val="clear" w:pos="1134"/>
          <w:tab w:val="left" w:pos="709" w:leader="none"/>
        </w:tabs>
        <w:bidi w:val="0"/>
        <w:spacing w:before="0" w:after="0"/>
        <w:ind w:start="709" w:hanging="283"/>
        <w:jc w:val="start"/>
        <w:rPr/>
      </w:pPr>
      <w:r>
        <w:rPr/>
        <w:t xml:space="preserve">Charles H, C., Giovanna, M., Dennis M, P. &amp; Robin W, R., 2015. CSR disclosure: the more things change…?. </w:t>
      </w:r>
      <w:r>
        <w:rPr>
          <w:rStyle w:val="Emphasis"/>
        </w:rPr>
        <w:t xml:space="preserve">Accounting, Auditing &amp; Accountability Journal, </w:t>
      </w:r>
      <w:r>
        <w:rPr/>
        <w:t xml:space="preserve">28(1), pp. 14-35. </w:t>
      </w:r>
    </w:p>
    <w:p>
      <w:pPr>
        <w:pStyle w:val="TextBody"/>
        <w:numPr>
          <w:ilvl w:val="0"/>
          <w:numId w:val="25"/>
        </w:numPr>
        <w:tabs>
          <w:tab w:val="clear" w:pos="1134"/>
          <w:tab w:val="left" w:pos="709" w:leader="none"/>
        </w:tabs>
        <w:bidi w:val="0"/>
        <w:spacing w:before="0" w:after="0"/>
        <w:ind w:start="709" w:hanging="283"/>
        <w:jc w:val="start"/>
        <w:rPr/>
      </w:pPr>
      <w:r>
        <w:rPr/>
        <w:t xml:space="preserve">Cundill, G., Smart, P. &amp; Wilson, H., 2017. Non‐financial Shareholder Activism: A Process Model for Influencing Corporate Environmental and Social Performance. </w:t>
      </w:r>
      <w:r>
        <w:rPr>
          <w:rStyle w:val="Emphasis"/>
        </w:rPr>
        <w:t xml:space="preserve">International Journal of Management Reviews, </w:t>
      </w:r>
      <w:r>
        <w:rPr/>
        <w:t xml:space="preserve">20(2), pp. 606-626. </w:t>
      </w:r>
    </w:p>
    <w:p>
      <w:pPr>
        <w:pStyle w:val="TextBody"/>
        <w:numPr>
          <w:ilvl w:val="0"/>
          <w:numId w:val="25"/>
        </w:numPr>
        <w:tabs>
          <w:tab w:val="clear" w:pos="1134"/>
          <w:tab w:val="left" w:pos="709" w:leader="none"/>
        </w:tabs>
        <w:bidi w:val="0"/>
        <w:spacing w:before="0" w:after="0"/>
        <w:ind w:start="709" w:hanging="283"/>
        <w:jc w:val="start"/>
        <w:rPr/>
      </w:pPr>
      <w:r>
        <w:rPr/>
        <w:t xml:space="preserve">Johan, S., 2018. The Relationship Between Economic Value Added, Market Value Added And Return On Cost Of Capital In Measuring Corporate Performance. </w:t>
      </w:r>
      <w:r>
        <w:rPr>
          <w:rStyle w:val="Emphasis"/>
        </w:rPr>
        <w:t xml:space="preserve">Jurnal Manajemen Bisnis dan Kewirausahaan, </w:t>
      </w:r>
      <w:r>
        <w:rPr/>
        <w:t xml:space="preserve">3(1). </w:t>
      </w:r>
    </w:p>
    <w:p>
      <w:pPr>
        <w:pStyle w:val="TextBody"/>
        <w:numPr>
          <w:ilvl w:val="0"/>
          <w:numId w:val="25"/>
        </w:numPr>
        <w:tabs>
          <w:tab w:val="clear" w:pos="1134"/>
          <w:tab w:val="left" w:pos="709" w:leader="none"/>
        </w:tabs>
        <w:bidi w:val="0"/>
        <w:spacing w:before="0" w:after="0"/>
        <w:ind w:start="709" w:hanging="283"/>
        <w:jc w:val="start"/>
        <w:rPr/>
      </w:pPr>
      <w:r>
        <w:rPr/>
        <w:t xml:space="preserve">Kang, D., Yu, G. &amp; Lee, S., 2016. Disentangling the effect of the employee benefits on the employee productivity. </w:t>
      </w:r>
      <w:r>
        <w:rPr>
          <w:rStyle w:val="Emphasis"/>
        </w:rPr>
        <w:t xml:space="preserve">The Journal of Applied Business Research, </w:t>
      </w:r>
      <w:r>
        <w:rPr/>
        <w:t xml:space="preserve">32(5), pp. 1447-1458. </w:t>
      </w:r>
    </w:p>
    <w:p>
      <w:pPr>
        <w:pStyle w:val="TextBody"/>
        <w:numPr>
          <w:ilvl w:val="0"/>
          <w:numId w:val="25"/>
        </w:numPr>
        <w:tabs>
          <w:tab w:val="clear" w:pos="1134"/>
          <w:tab w:val="left" w:pos="709" w:leader="none"/>
        </w:tabs>
        <w:bidi w:val="0"/>
        <w:spacing w:before="0" w:after="0"/>
        <w:ind w:start="709" w:hanging="283"/>
        <w:jc w:val="start"/>
        <w:rPr/>
      </w:pPr>
      <w:r>
        <w:rPr/>
        <w:t xml:space="preserve">Kaufmann, W., 2017. </w:t>
      </w:r>
      <w:r>
        <w:rPr>
          <w:rStyle w:val="Emphasis"/>
        </w:rPr>
        <w:t xml:space="preserve">The Problem of Regulatory Unreasonableness. </w:t>
      </w:r>
      <w:r>
        <w:rPr/>
        <w:t xml:space="preserve">First ed. New York: Routledge. </w:t>
      </w:r>
    </w:p>
    <w:p>
      <w:pPr>
        <w:pStyle w:val="TextBody"/>
        <w:numPr>
          <w:ilvl w:val="0"/>
          <w:numId w:val="25"/>
        </w:numPr>
        <w:tabs>
          <w:tab w:val="clear" w:pos="1134"/>
          <w:tab w:val="left" w:pos="709" w:leader="none"/>
        </w:tabs>
        <w:bidi w:val="0"/>
        <w:spacing w:before="0" w:after="0"/>
        <w:ind w:start="709" w:hanging="283"/>
        <w:jc w:val="start"/>
        <w:rPr/>
      </w:pPr>
      <w:r>
        <w:rPr/>
        <w:t xml:space="preserve">Knechel, W. &amp; Salterio, S., 2016. </w:t>
      </w:r>
      <w:r>
        <w:rPr>
          <w:rStyle w:val="Emphasis"/>
        </w:rPr>
        <w:t xml:space="preserve">Auditing: Assurance and Risk. </w:t>
      </w:r>
      <w:r>
        <w:rPr/>
        <w:t xml:space="preserve">fourth ed. New York: Routledge. </w:t>
      </w:r>
    </w:p>
    <w:p>
      <w:pPr>
        <w:pStyle w:val="TextBody"/>
        <w:numPr>
          <w:ilvl w:val="0"/>
          <w:numId w:val="25"/>
        </w:numPr>
        <w:tabs>
          <w:tab w:val="clear" w:pos="1134"/>
          <w:tab w:val="left" w:pos="709" w:leader="none"/>
        </w:tabs>
        <w:bidi w:val="0"/>
        <w:spacing w:before="0" w:after="283"/>
        <w:ind w:start="709" w:hanging="283"/>
        <w:jc w:val="start"/>
        <w:rPr/>
      </w:pPr>
      <w:r>
        <w:rPr/>
        <w:t xml:space="preserve">Pamela, K. &amp; Tamara, Z., 2013. Attaining legitimacy by employee information in annual reports. </w:t>
      </w:r>
      <w:r>
        <w:rPr>
          <w:rStyle w:val="Emphasis"/>
        </w:rPr>
        <w:t xml:space="preserve">Accounting, Auditing &amp; Accountability Journal, </w:t>
      </w:r>
      <w:r>
        <w:rPr/>
        <w:t xml:space="preserve">26(7), pp. 1072-1106.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financial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9"/>
    <w:lvlOverride w:ilvl="0">
      <w:startOverride w:val="1"/>
    </w:lvlOverride>
  </w:num>
  <w:num w:numId="23">
    <w:abstractNumId w:val="20"/>
  </w:num>
  <w:num w:numId="24">
    <w:abstractNumId w:val="21"/>
  </w:num>
  <w:num w:numId="25">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financi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financial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financial management</dc:title>
  <dc:subject>Others;</dc:subject>
  <dc:creator>AssignBuster</dc:creator>
  <cp:keywords/>
  <dc:description>08 Years Analysis and evaluation of investment project A recommendation on which project to undertake On the basis of the above detailed calculation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