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on non-hodgkin’s lymphoma</w:t>
        </w:r>
      </w:hyperlink>
      <w:bookmarkEnd w:id="0"/>
    </w:p>
    <w:p>
      <w:r>
        <w:br w:type="page"/>
      </w:r>
    </w:p>
    <w:p>
      <w:pPr>
        <w:pStyle w:val="TextBody"/>
        <w:bidi w:val="0"/>
        <w:jc w:val="start"/>
        <w:rPr/>
      </w:pPr>
      <w:r>
        <w:rPr/>
        <w:t xml:space="preserve">In the year 2018, Non-Hodgkin’s lymphoma (NHL) is the more predominant subtype lymphoma in the United States. Patient risk factors that have been linked with an enhanced incidence for the development of NHL include: advanced age, male gender, Caucasian race, genetic diseases, infectious agents, and environmental elements. Histologically, NHL can be acquired from malignant B or T cells and their precursors, however in the United States it is more common to see NHL derive from a B cell origin. Patients with NHL may experience B-symptoms similar to Hodgkin’s lymphoma but may also present with a broader array of symptoms depending on location of involvement. As with Hodgkin’s lymphoma, our goal of treatment for NHL patients are to minimize symptoms, mitigate risk of toxicities, induce remission and ultimately cure patients (p 2218-2223). </w:t>
      </w:r>
      <w:r>
        <w:rPr>
          <w:position w:val="8"/>
          <w:sz w:val="19"/>
        </w:rPr>
        <w:t xml:space="preserve">1 </w:t>
      </w:r>
    </w:p>
    <w:p>
      <w:pPr>
        <w:pStyle w:val="TextBody"/>
        <w:bidi w:val="0"/>
        <w:spacing w:before="0" w:after="283"/>
        <w:jc w:val="start"/>
        <w:rPr/>
      </w:pPr>
      <w:r>
        <w:rPr/>
        <w:t xml:space="preserve">Clinical Research on Non-Hodgkin’s Lymphoma </w:t>
      </w:r>
    </w:p>
    <w:p>
      <w:pPr>
        <w:pStyle w:val="TextBody"/>
        <w:bidi w:val="0"/>
        <w:spacing w:before="0" w:after="283"/>
        <w:jc w:val="start"/>
        <w:rPr/>
      </w:pPr>
      <w:r>
        <w:rPr/>
        <w:t xml:space="preserve">Recher C et al. </w:t>
      </w:r>
    </w:p>
    <w:p>
      <w:pPr>
        <w:pStyle w:val="TextBody"/>
        <w:bidi w:val="0"/>
        <w:spacing w:before="0" w:after="283"/>
        <w:jc w:val="start"/>
        <w:rPr/>
      </w:pPr>
      <w:r>
        <w:rPr/>
        <w:t xml:space="preserve">Purpose: This study centers on establishing a first-line chemotherapeutic regimen for patients ranging from 18 to 59 years of age, afflicted with treatment-naïve diffuse large B-cell lymphoma (DLBCL). </w:t>
      </w:r>
    </w:p>
    <w:p>
      <w:pPr>
        <w:pStyle w:val="TextBody"/>
        <w:bidi w:val="0"/>
        <w:spacing w:before="0" w:after="283"/>
        <w:jc w:val="start"/>
        <w:rPr/>
      </w:pPr>
      <w:r>
        <w:rPr/>
        <w:t xml:space="preserve">Study Design: Open label, multicenter, phase III, randomized control trial </w:t>
      </w:r>
    </w:p>
    <w:p>
      <w:pPr>
        <w:pStyle w:val="TextBody"/>
        <w:bidi w:val="0"/>
        <w:spacing w:before="0" w:after="283"/>
        <w:jc w:val="start"/>
        <w:rPr/>
      </w:pPr>
      <w:r>
        <w:rPr/>
        <w:t xml:space="preserve">Methods: Patients with DLBCL were selected from seventy-three hematology centers located in France, Belgium and Switzerland. The study occurred over a 5 year time frame from December 2003 to December 2008. Two discrete treatment regimens were compared, R-CHOP and R-ACVBP. The primary endpoint studied is event-free survival from DLBCL. The secondary endpoints are treatment response, disease-free survival, progression-free survival, overall survival, CNS progression, and safety. This study used an intent-to-treat analysis with a follow-up at 44 months. Table 1 lists the chemotherapy regimens of R-CHOP and R-ACVBP. </w:t>
      </w:r>
      <w:r>
        <w:rPr>
          <w:position w:val="8"/>
          <w:sz w:val="19"/>
        </w:rPr>
        <w:t xml:space="preserve">2 </w:t>
      </w:r>
    </w:p>
    <w:tbl>
      <w:tblPr>
        <w:tblW w:w="5276" w:type="dxa"/>
        <w:jc w:val="start"/>
        <w:tblInd w:w="0" w:type="dxa"/>
        <w:tblLayout w:type="fixed"/>
        <w:tblCellMar>
          <w:top w:w="28" w:type="dxa"/>
          <w:start w:w="28" w:type="dxa"/>
          <w:bottom w:w="28" w:type="dxa"/>
          <w:end w:w="28" w:type="dxa"/>
        </w:tblCellMar>
      </w:tblPr>
      <w:tblGrid>
        <w:gridCol w:w="2563"/>
        <w:gridCol w:w="2713"/>
      </w:tblGrid>
      <w:tr>
        <w:trPr/>
        <w:tc>
          <w:tcPr>
            <w:tcW w:w="5276" w:type="dxa"/>
            <w:gridSpan w:val="2"/>
            <w:tcBorders/>
            <w:vAlign w:val="center"/>
          </w:tcPr>
          <w:p>
            <w:pPr>
              <w:pStyle w:val="TableContents"/>
              <w:bidi w:val="0"/>
              <w:spacing w:before="0" w:after="283"/>
              <w:jc w:val="start"/>
              <w:rPr/>
            </w:pPr>
            <w:r>
              <w:rPr/>
              <w:t xml:space="preserve">TABLE 1: CHEMOTHERAPY REGIMENS OF R-CHOP AND R-ACVBP </w:t>
            </w:r>
            <w:r>
              <w:rPr>
                <w:position w:val="8"/>
                <w:sz w:val="19"/>
              </w:rPr>
              <w:t xml:space="preserve">2 </w:t>
            </w:r>
          </w:p>
        </w:tc>
      </w:tr>
      <w:tr>
        <w:trPr/>
        <w:tc>
          <w:tcPr>
            <w:tcW w:w="2563" w:type="dxa"/>
            <w:tcBorders/>
            <w:vAlign w:val="center"/>
          </w:tcPr>
          <w:p>
            <w:pPr>
              <w:pStyle w:val="TableContents"/>
              <w:bidi w:val="0"/>
              <w:jc w:val="start"/>
              <w:rPr/>
            </w:pPr>
            <w:r>
              <w:rPr/>
              <w:t xml:space="preserve">R-CHOP ARM </w:t>
            </w:r>
          </w:p>
          <w:p>
            <w:pPr>
              <w:pStyle w:val="TableContents"/>
              <w:bidi w:val="0"/>
              <w:spacing w:before="0" w:after="283"/>
              <w:jc w:val="start"/>
              <w:rPr/>
            </w:pPr>
            <w:r>
              <w:rPr>
                <w:rStyle w:val="Emphasis"/>
              </w:rPr>
              <w:t xml:space="preserve">(8 CYCLES REPEATED EVERY 3 WEEKS </w:t>
            </w:r>
            <w:r>
              <w:rPr/>
              <w:t xml:space="preserve">) </w:t>
            </w:r>
          </w:p>
        </w:tc>
        <w:tc>
          <w:tcPr>
            <w:tcW w:w="2713" w:type="dxa"/>
            <w:tcBorders/>
            <w:vAlign w:val="center"/>
          </w:tcPr>
          <w:p>
            <w:pPr>
              <w:pStyle w:val="TableContents"/>
              <w:bidi w:val="0"/>
              <w:jc w:val="start"/>
              <w:rPr/>
            </w:pPr>
            <w:r>
              <w:rPr/>
              <w:t xml:space="preserve">R-ACVBP ARM </w:t>
            </w:r>
          </w:p>
          <w:p>
            <w:pPr>
              <w:pStyle w:val="TableContents"/>
              <w:bidi w:val="0"/>
              <w:spacing w:before="0" w:after="283"/>
              <w:jc w:val="start"/>
              <w:rPr/>
            </w:pPr>
            <w:r>
              <w:rPr>
                <w:rStyle w:val="Emphasis"/>
              </w:rPr>
              <w:t xml:space="preserve">(4 CYCLES REPEATED EVERY 2 WEEKS) </w:t>
            </w:r>
          </w:p>
        </w:tc>
      </w:tr>
      <w:tr>
        <w:trPr/>
        <w:tc>
          <w:tcPr>
            <w:tcW w:w="2563" w:type="dxa"/>
            <w:tcBorders/>
            <w:vAlign w:val="center"/>
          </w:tcPr>
          <w:p>
            <w:pPr>
              <w:pStyle w:val="TableContents"/>
              <w:bidi w:val="0"/>
              <w:jc w:val="start"/>
              <w:rPr/>
            </w:pPr>
            <w:r>
              <w:rPr/>
              <w:t xml:space="preserve">1 Induction Cycle consists of the following </w:t>
            </w:r>
          </w:p>
          <w:tbl>
            <w:tblPr>
              <w:tblW w:w="2507" w:type="dxa"/>
              <w:jc w:val="start"/>
              <w:tblInd w:w="0" w:type="dxa"/>
              <w:tblLayout w:type="fixed"/>
              <w:tblCellMar>
                <w:top w:w="28" w:type="dxa"/>
                <w:start w:w="28" w:type="dxa"/>
                <w:bottom w:w="28" w:type="dxa"/>
                <w:end w:w="28" w:type="dxa"/>
              </w:tblCellMar>
            </w:tblPr>
            <w:tblGrid>
              <w:gridCol w:w="493"/>
              <w:gridCol w:w="2014"/>
            </w:tblGrid>
            <w:tr>
              <w:trPr/>
              <w:tc>
                <w:tcPr>
                  <w:tcW w:w="493" w:type="dxa"/>
                  <w:tcBorders/>
                  <w:vAlign w:val="center"/>
                </w:tcPr>
                <w:p>
                  <w:pPr>
                    <w:pStyle w:val="TableContents"/>
                    <w:bidi w:val="0"/>
                    <w:spacing w:before="0" w:after="283"/>
                    <w:jc w:val="start"/>
                    <w:rPr/>
                  </w:pPr>
                  <w:r>
                    <w:rPr/>
                    <w:t xml:space="preserve">375 mg/m </w:t>
                  </w:r>
                  <w:r>
                    <w:rPr>
                      <w:position w:val="8"/>
                      <w:sz w:val="19"/>
                    </w:rPr>
                    <w:t xml:space="preserve">2 </w:t>
                  </w:r>
                </w:p>
              </w:tc>
              <w:tc>
                <w:tcPr>
                  <w:tcW w:w="2014" w:type="dxa"/>
                  <w:tcBorders/>
                  <w:vAlign w:val="center"/>
                </w:tcPr>
                <w:p>
                  <w:pPr>
                    <w:pStyle w:val="TableContents"/>
                    <w:bidi w:val="0"/>
                    <w:spacing w:before="0" w:after="283"/>
                    <w:jc w:val="start"/>
                    <w:rPr/>
                  </w:pPr>
                  <w:r>
                    <w:rPr/>
                    <w:t xml:space="preserve">Rituximab </w:t>
                  </w:r>
                </w:p>
              </w:tc>
            </w:tr>
            <w:tr>
              <w:trPr/>
              <w:tc>
                <w:tcPr>
                  <w:tcW w:w="493" w:type="dxa"/>
                  <w:tcBorders/>
                  <w:vAlign w:val="center"/>
                </w:tcPr>
                <w:p>
                  <w:pPr>
                    <w:pStyle w:val="TableContents"/>
                    <w:bidi w:val="0"/>
                    <w:spacing w:before="0" w:after="283"/>
                    <w:jc w:val="start"/>
                    <w:rPr/>
                  </w:pPr>
                  <w:r>
                    <w:rPr/>
                    <w:t xml:space="preserve">50 mg/m </w:t>
                  </w:r>
                  <w:r>
                    <w:rPr>
                      <w:position w:val="8"/>
                      <w:sz w:val="19"/>
                    </w:rPr>
                    <w:t xml:space="preserve">2 </w:t>
                  </w:r>
                </w:p>
              </w:tc>
              <w:tc>
                <w:tcPr>
                  <w:tcW w:w="2014" w:type="dxa"/>
                  <w:tcBorders/>
                  <w:vAlign w:val="center"/>
                </w:tcPr>
                <w:p>
                  <w:pPr>
                    <w:pStyle w:val="TableContents"/>
                    <w:bidi w:val="0"/>
                    <w:spacing w:before="0" w:after="283"/>
                    <w:jc w:val="start"/>
                    <w:rPr/>
                  </w:pPr>
                  <w:r>
                    <w:rPr/>
                    <w:t xml:space="preserve">Doxorubicin </w:t>
                  </w:r>
                </w:p>
              </w:tc>
            </w:tr>
            <w:tr>
              <w:trPr/>
              <w:tc>
                <w:tcPr>
                  <w:tcW w:w="493" w:type="dxa"/>
                  <w:tcBorders/>
                  <w:vAlign w:val="center"/>
                </w:tcPr>
                <w:p>
                  <w:pPr>
                    <w:pStyle w:val="TableContents"/>
                    <w:bidi w:val="0"/>
                    <w:spacing w:before="0" w:after="283"/>
                    <w:jc w:val="start"/>
                    <w:rPr/>
                  </w:pPr>
                  <w:r>
                    <w:rPr/>
                    <w:t xml:space="preserve">750 mg/m </w:t>
                  </w:r>
                  <w:r>
                    <w:rPr>
                      <w:position w:val="8"/>
                      <w:sz w:val="19"/>
                    </w:rPr>
                    <w:t xml:space="preserve">2 </w:t>
                  </w:r>
                </w:p>
              </w:tc>
              <w:tc>
                <w:tcPr>
                  <w:tcW w:w="2014" w:type="dxa"/>
                  <w:tcBorders/>
                  <w:vAlign w:val="center"/>
                </w:tcPr>
                <w:p>
                  <w:pPr>
                    <w:pStyle w:val="TableContents"/>
                    <w:bidi w:val="0"/>
                    <w:spacing w:before="0" w:after="283"/>
                    <w:jc w:val="start"/>
                    <w:rPr/>
                  </w:pPr>
                  <w:r>
                    <w:rPr/>
                    <w:t xml:space="preserve">Cyclophosphamide </w:t>
                  </w:r>
                </w:p>
              </w:tc>
            </w:tr>
            <w:tr>
              <w:trPr/>
              <w:tc>
                <w:tcPr>
                  <w:tcW w:w="493" w:type="dxa"/>
                  <w:tcBorders/>
                  <w:vAlign w:val="center"/>
                </w:tcPr>
                <w:p>
                  <w:pPr>
                    <w:pStyle w:val="TableContents"/>
                    <w:bidi w:val="0"/>
                    <w:spacing w:before="0" w:after="283"/>
                    <w:jc w:val="start"/>
                    <w:rPr/>
                  </w:pPr>
                  <w:r>
                    <w:rPr/>
                    <w:t xml:space="preserve">1. 4 mg/m </w:t>
                  </w:r>
                  <w:r>
                    <w:rPr>
                      <w:position w:val="8"/>
                      <w:sz w:val="19"/>
                    </w:rPr>
                    <w:t xml:space="preserve">2 </w:t>
                  </w:r>
                </w:p>
              </w:tc>
              <w:tc>
                <w:tcPr>
                  <w:tcW w:w="2014" w:type="dxa"/>
                  <w:tcBorders/>
                  <w:vAlign w:val="center"/>
                </w:tcPr>
                <w:p>
                  <w:pPr>
                    <w:pStyle w:val="TableContents"/>
                    <w:bidi w:val="0"/>
                    <w:spacing w:before="0" w:after="283"/>
                    <w:jc w:val="start"/>
                    <w:rPr/>
                  </w:pPr>
                  <w:r>
                    <w:rPr/>
                    <w:t xml:space="preserve">Vincristine on day 1 (max of 2 mg/dose) </w:t>
                  </w:r>
                </w:p>
              </w:tc>
            </w:tr>
            <w:tr>
              <w:trPr/>
              <w:tc>
                <w:tcPr>
                  <w:tcW w:w="493" w:type="dxa"/>
                  <w:tcBorders/>
                  <w:vAlign w:val="center"/>
                </w:tcPr>
                <w:p>
                  <w:pPr>
                    <w:pStyle w:val="TableContents"/>
                    <w:bidi w:val="0"/>
                    <w:spacing w:before="0" w:after="283"/>
                    <w:jc w:val="start"/>
                    <w:rPr/>
                  </w:pPr>
                  <w:r>
                    <w:rPr/>
                    <w:t xml:space="preserve">60 mg/m </w:t>
                  </w:r>
                  <w:r>
                    <w:rPr>
                      <w:position w:val="8"/>
                      <w:sz w:val="19"/>
                    </w:rPr>
                    <w:t xml:space="preserve">2 </w:t>
                  </w:r>
                </w:p>
              </w:tc>
              <w:tc>
                <w:tcPr>
                  <w:tcW w:w="2014" w:type="dxa"/>
                  <w:tcBorders/>
                  <w:vAlign w:val="center"/>
                </w:tcPr>
                <w:p>
                  <w:pPr>
                    <w:pStyle w:val="TableContents"/>
                    <w:bidi w:val="0"/>
                    <w:spacing w:before="0" w:after="283"/>
                    <w:jc w:val="start"/>
                    <w:rPr/>
                  </w:pPr>
                  <w:r>
                    <w:rPr/>
                    <w:t xml:space="preserve">Prednisone on day 1 and day 5 </w:t>
                  </w:r>
                </w:p>
              </w:tc>
            </w:tr>
          </w:tbl>
          <w:p>
            <w:pPr>
              <w:pStyle w:val="TableContents"/>
              <w:bidi w:val="0"/>
              <w:spacing w:before="0" w:after="283"/>
              <w:jc w:val="start"/>
              <w:rPr>
                <w:sz w:val="4"/>
                <w:szCs w:val="4"/>
              </w:rPr>
            </w:pPr>
            <w:r>
              <w:rPr>
                <w:sz w:val="4"/>
                <w:szCs w:val="4"/>
              </w:rPr>
            </w:r>
          </w:p>
        </w:tc>
        <w:tc>
          <w:tcPr>
            <w:tcW w:w="2713" w:type="dxa"/>
            <w:tcBorders/>
            <w:vAlign w:val="center"/>
          </w:tcPr>
          <w:p>
            <w:pPr>
              <w:pStyle w:val="TableContents"/>
              <w:bidi w:val="0"/>
              <w:jc w:val="start"/>
              <w:rPr/>
            </w:pPr>
            <w:r>
              <w:rPr/>
              <w:t xml:space="preserve">1 Induction Cycle consists of the following </w:t>
            </w:r>
          </w:p>
          <w:tbl>
            <w:tblPr>
              <w:tblW w:w="2657" w:type="dxa"/>
              <w:jc w:val="start"/>
              <w:tblInd w:w="0" w:type="dxa"/>
              <w:tblLayout w:type="fixed"/>
              <w:tblCellMar>
                <w:top w:w="28" w:type="dxa"/>
                <w:start w:w="28" w:type="dxa"/>
                <w:bottom w:w="28" w:type="dxa"/>
                <w:end w:w="28" w:type="dxa"/>
              </w:tblCellMar>
            </w:tblPr>
            <w:tblGrid>
              <w:gridCol w:w="631"/>
              <w:gridCol w:w="2026"/>
            </w:tblGrid>
            <w:tr>
              <w:trPr/>
              <w:tc>
                <w:tcPr>
                  <w:tcW w:w="631" w:type="dxa"/>
                  <w:tcBorders/>
                  <w:vAlign w:val="center"/>
                </w:tcPr>
                <w:p>
                  <w:pPr>
                    <w:pStyle w:val="TableContents"/>
                    <w:bidi w:val="0"/>
                    <w:spacing w:before="0" w:after="283"/>
                    <w:jc w:val="start"/>
                    <w:rPr/>
                  </w:pPr>
                  <w:r>
                    <w:rPr/>
                    <w:t xml:space="preserve">375 mg/m </w:t>
                  </w:r>
                  <w:r>
                    <w:rPr>
                      <w:position w:val="8"/>
                      <w:sz w:val="19"/>
                    </w:rPr>
                    <w:t xml:space="preserve">2 </w:t>
                  </w:r>
                </w:p>
              </w:tc>
              <w:tc>
                <w:tcPr>
                  <w:tcW w:w="2026" w:type="dxa"/>
                  <w:tcBorders/>
                  <w:vAlign w:val="center"/>
                </w:tcPr>
                <w:p>
                  <w:pPr>
                    <w:pStyle w:val="TableContents"/>
                    <w:bidi w:val="0"/>
                    <w:spacing w:before="0" w:after="283"/>
                    <w:jc w:val="start"/>
                    <w:rPr/>
                  </w:pPr>
                  <w:r>
                    <w:rPr/>
                    <w:t xml:space="preserve">Rituximab </w:t>
                  </w:r>
                </w:p>
              </w:tc>
            </w:tr>
            <w:tr>
              <w:trPr/>
              <w:tc>
                <w:tcPr>
                  <w:tcW w:w="631" w:type="dxa"/>
                  <w:tcBorders/>
                  <w:vAlign w:val="center"/>
                </w:tcPr>
                <w:p>
                  <w:pPr>
                    <w:pStyle w:val="TableContents"/>
                    <w:bidi w:val="0"/>
                    <w:spacing w:before="0" w:after="283"/>
                    <w:jc w:val="start"/>
                    <w:rPr/>
                  </w:pPr>
                  <w:r>
                    <w:rPr/>
                    <w:t xml:space="preserve">75 mg/m </w:t>
                  </w:r>
                  <w:r>
                    <w:rPr>
                      <w:position w:val="8"/>
                      <w:sz w:val="19"/>
                    </w:rPr>
                    <w:t xml:space="preserve">2 </w:t>
                  </w:r>
                </w:p>
              </w:tc>
              <w:tc>
                <w:tcPr>
                  <w:tcW w:w="2026" w:type="dxa"/>
                  <w:tcBorders/>
                  <w:vAlign w:val="center"/>
                </w:tcPr>
                <w:p>
                  <w:pPr>
                    <w:pStyle w:val="TableContents"/>
                    <w:bidi w:val="0"/>
                    <w:spacing w:before="0" w:after="283"/>
                    <w:jc w:val="start"/>
                    <w:rPr/>
                  </w:pPr>
                  <w:r>
                    <w:rPr/>
                    <w:t xml:space="preserve">Doxorubicin </w:t>
                  </w:r>
                </w:p>
              </w:tc>
            </w:tr>
            <w:tr>
              <w:trPr/>
              <w:tc>
                <w:tcPr>
                  <w:tcW w:w="631" w:type="dxa"/>
                  <w:tcBorders/>
                  <w:vAlign w:val="center"/>
                </w:tcPr>
                <w:p>
                  <w:pPr>
                    <w:pStyle w:val="TableContents"/>
                    <w:bidi w:val="0"/>
                    <w:spacing w:before="0" w:after="283"/>
                    <w:jc w:val="start"/>
                    <w:rPr/>
                  </w:pPr>
                  <w:r>
                    <w:rPr/>
                    <w:t xml:space="preserve">1200 mg/m </w:t>
                  </w:r>
                  <w:r>
                    <w:rPr>
                      <w:position w:val="8"/>
                      <w:sz w:val="19"/>
                    </w:rPr>
                    <w:t xml:space="preserve">2 </w:t>
                  </w:r>
                </w:p>
              </w:tc>
              <w:tc>
                <w:tcPr>
                  <w:tcW w:w="2026" w:type="dxa"/>
                  <w:tcBorders/>
                  <w:vAlign w:val="center"/>
                </w:tcPr>
                <w:p>
                  <w:pPr>
                    <w:pStyle w:val="TableContents"/>
                    <w:bidi w:val="0"/>
                    <w:spacing w:before="0" w:after="283"/>
                    <w:jc w:val="start"/>
                    <w:rPr/>
                  </w:pPr>
                  <w:r>
                    <w:rPr/>
                    <w:t xml:space="preserve">Cyclophosphamide on day 1 </w:t>
                  </w:r>
                </w:p>
              </w:tc>
            </w:tr>
            <w:tr>
              <w:trPr/>
              <w:tc>
                <w:tcPr>
                  <w:tcW w:w="631" w:type="dxa"/>
                  <w:tcBorders/>
                  <w:vAlign w:val="center"/>
                </w:tcPr>
                <w:p>
                  <w:pPr>
                    <w:pStyle w:val="TableContents"/>
                    <w:bidi w:val="0"/>
                    <w:spacing w:before="0" w:after="283"/>
                    <w:jc w:val="start"/>
                    <w:rPr/>
                  </w:pPr>
                  <w:r>
                    <w:rPr/>
                    <w:t xml:space="preserve">2 mg dose </w:t>
                  </w:r>
                </w:p>
              </w:tc>
              <w:tc>
                <w:tcPr>
                  <w:tcW w:w="2026" w:type="dxa"/>
                  <w:tcBorders/>
                  <w:vAlign w:val="center"/>
                </w:tcPr>
                <w:p>
                  <w:pPr>
                    <w:pStyle w:val="TableContents"/>
                    <w:bidi w:val="0"/>
                    <w:spacing w:before="0" w:after="283"/>
                    <w:jc w:val="start"/>
                    <w:rPr/>
                  </w:pPr>
                  <w:r>
                    <w:rPr/>
                    <w:t xml:space="preserve">Vindesine </w:t>
                  </w:r>
                </w:p>
              </w:tc>
            </w:tr>
            <w:tr>
              <w:trPr/>
              <w:tc>
                <w:tcPr>
                  <w:tcW w:w="631" w:type="dxa"/>
                  <w:tcBorders/>
                  <w:vAlign w:val="center"/>
                </w:tcPr>
                <w:p>
                  <w:pPr>
                    <w:pStyle w:val="TableContents"/>
                    <w:bidi w:val="0"/>
                    <w:spacing w:before="0" w:after="283"/>
                    <w:jc w:val="start"/>
                    <w:rPr/>
                  </w:pPr>
                  <w:r>
                    <w:rPr/>
                    <w:t xml:space="preserve">10 mg/m </w:t>
                  </w:r>
                  <w:r>
                    <w:rPr>
                      <w:position w:val="8"/>
                      <w:sz w:val="19"/>
                    </w:rPr>
                    <w:t xml:space="preserve">2 </w:t>
                  </w:r>
                </w:p>
              </w:tc>
              <w:tc>
                <w:tcPr>
                  <w:tcW w:w="2026" w:type="dxa"/>
                  <w:tcBorders/>
                  <w:vAlign w:val="center"/>
                </w:tcPr>
                <w:p>
                  <w:pPr>
                    <w:pStyle w:val="TableContents"/>
                    <w:bidi w:val="0"/>
                    <w:spacing w:before="0" w:after="283"/>
                    <w:jc w:val="start"/>
                    <w:rPr/>
                  </w:pPr>
                  <w:r>
                    <w:rPr/>
                    <w:t xml:space="preserve">Bleomycin on day 1 and day 5 </w:t>
                  </w:r>
                </w:p>
              </w:tc>
            </w:tr>
            <w:tr>
              <w:trPr/>
              <w:tc>
                <w:tcPr>
                  <w:tcW w:w="631" w:type="dxa"/>
                  <w:tcBorders/>
                  <w:vAlign w:val="center"/>
                </w:tcPr>
                <w:p>
                  <w:pPr>
                    <w:pStyle w:val="TableContents"/>
                    <w:bidi w:val="0"/>
                    <w:spacing w:before="0" w:after="283"/>
                    <w:jc w:val="start"/>
                    <w:rPr/>
                  </w:pPr>
                  <w:r>
                    <w:rPr/>
                    <w:t xml:space="preserve">60 mg/m </w:t>
                  </w:r>
                  <w:r>
                    <w:rPr>
                      <w:position w:val="8"/>
                      <w:sz w:val="19"/>
                    </w:rPr>
                    <w:t xml:space="preserve">2 </w:t>
                  </w:r>
                </w:p>
              </w:tc>
              <w:tc>
                <w:tcPr>
                  <w:tcW w:w="2026" w:type="dxa"/>
                  <w:tcBorders/>
                  <w:vAlign w:val="center"/>
                </w:tcPr>
                <w:p>
                  <w:pPr>
                    <w:pStyle w:val="TableContents"/>
                    <w:bidi w:val="0"/>
                    <w:spacing w:before="0" w:after="283"/>
                    <w:jc w:val="start"/>
                    <w:rPr/>
                  </w:pPr>
                  <w:r>
                    <w:rPr/>
                    <w:t xml:space="preserve">Prednisone on day 1 and day 5 </w:t>
                  </w:r>
                </w:p>
              </w:tc>
            </w:tr>
          </w:tbl>
          <w:p>
            <w:pPr>
              <w:pStyle w:val="TableContents"/>
              <w:bidi w:val="0"/>
              <w:jc w:val="start"/>
              <w:rPr/>
            </w:pPr>
            <w:r>
              <w:rPr/>
              <w:t xml:space="preserve">*Filgrastim can be given SQ on days 6-13 </w:t>
            </w:r>
          </w:p>
          <w:p>
            <w:pPr>
              <w:pStyle w:val="TableContents"/>
              <w:bidi w:val="0"/>
              <w:spacing w:before="0" w:after="283"/>
              <w:jc w:val="start"/>
              <w:rPr/>
            </w:pPr>
            <w:r>
              <w:rPr/>
              <w:t xml:space="preserve">* Consolidation cycle consists of methotrexate, leucovorin rescue, rituximab, etoposide, ifosfamide, and cytarabine </w:t>
            </w:r>
          </w:p>
        </w:tc>
      </w:tr>
    </w:tbl>
    <w:p>
      <w:pPr>
        <w:pStyle w:val="TextBody"/>
        <w:bidi w:val="0"/>
        <w:spacing w:before="0" w:after="283"/>
        <w:jc w:val="start"/>
        <w:rPr/>
      </w:pPr>
      <w:r>
        <w:rPr/>
        <w:t xml:space="preserve">Inclusion Criteria </w:t>
      </w:r>
    </w:p>
    <w:p>
      <w:pPr>
        <w:pStyle w:val="TextBody"/>
        <w:bidi w:val="0"/>
        <w:spacing w:before="0" w:after="283"/>
        <w:jc w:val="start"/>
        <w:rPr/>
      </w:pPr>
      <w:r>
        <w:rPr/>
        <w:t xml:space="preserve">International Prognostic Index of 1 (raised lactate dehydrogenase, Ann Arbor stage 3-4, ECOG 2-4) </w:t>
      </w:r>
    </w:p>
    <w:p>
      <w:pPr>
        <w:pStyle w:val="TextBody"/>
        <w:bidi w:val="0"/>
        <w:spacing w:before="0" w:after="283"/>
        <w:jc w:val="start"/>
        <w:rPr/>
      </w:pPr>
      <w:r>
        <w:rPr/>
        <w:t xml:space="preserve">At least three months of minimum life expectancy </w:t>
      </w:r>
    </w:p>
    <w:p>
      <w:pPr>
        <w:pStyle w:val="TextBody"/>
        <w:bidi w:val="0"/>
        <w:spacing w:before="0" w:after="283"/>
        <w:jc w:val="start"/>
        <w:rPr/>
      </w:pPr>
      <w:r>
        <w:rPr/>
        <w:t xml:space="preserve">Negative results for infections that include HIV, hepatitis B or hepatitis C </w:t>
      </w:r>
    </w:p>
    <w:p>
      <w:pPr>
        <w:pStyle w:val="TextBody"/>
        <w:bidi w:val="0"/>
        <w:spacing w:before="0" w:after="283"/>
        <w:jc w:val="start"/>
        <w:rPr/>
      </w:pPr>
      <w:r>
        <w:rPr/>
        <w:t xml:space="preserve">Exclusion Criteria </w:t>
      </w:r>
    </w:p>
    <w:p>
      <w:pPr>
        <w:pStyle w:val="TextBody"/>
        <w:bidi w:val="0"/>
        <w:spacing w:before="0" w:after="283"/>
        <w:jc w:val="start"/>
        <w:rPr/>
      </w:pPr>
      <w:r>
        <w:rPr/>
        <w:t xml:space="preserve">T-cell lymphoma or indolent lymphoma subtypes </w:t>
      </w:r>
    </w:p>
    <w:p>
      <w:pPr>
        <w:pStyle w:val="TextBody"/>
        <w:bidi w:val="0"/>
        <w:spacing w:before="0" w:after="283"/>
        <w:jc w:val="start"/>
        <w:rPr/>
      </w:pPr>
      <w:r>
        <w:rPr/>
        <w:t xml:space="preserve">CNS involvement </w:t>
      </w:r>
    </w:p>
    <w:p>
      <w:pPr>
        <w:pStyle w:val="TextBody"/>
        <w:bidi w:val="0"/>
        <w:spacing w:before="0" w:after="283"/>
        <w:jc w:val="start"/>
        <w:rPr/>
      </w:pPr>
      <w:r>
        <w:rPr/>
        <w:t xml:space="preserve">Contraindications to any chemotherapeutic agents </w:t>
      </w:r>
    </w:p>
    <w:p>
      <w:pPr>
        <w:pStyle w:val="TextBody"/>
        <w:bidi w:val="0"/>
        <w:spacing w:before="0" w:after="283"/>
        <w:jc w:val="start"/>
        <w:rPr/>
      </w:pPr>
      <w:r>
        <w:rPr/>
        <w:t xml:space="preserve">Poor renal function (creatinine &gt; 150 mmol/L) </w:t>
      </w:r>
    </w:p>
    <w:p>
      <w:pPr>
        <w:pStyle w:val="TextBody"/>
        <w:bidi w:val="0"/>
        <w:spacing w:before="0" w:after="283"/>
        <w:jc w:val="start"/>
        <w:rPr/>
      </w:pPr>
      <w:r>
        <w:rPr/>
        <w:t xml:space="preserve">Poor hepatic function (total bilirubin &gt; 30 mmol/L or transaminase 2 – 5 X’s ULN) </w:t>
      </w:r>
    </w:p>
    <w:p>
      <w:pPr>
        <w:pStyle w:val="TextBody"/>
        <w:bidi w:val="0"/>
        <w:spacing w:before="0" w:after="283"/>
        <w:jc w:val="start"/>
        <w:rPr/>
      </w:pPr>
      <w:r>
        <w:rPr/>
        <w:t xml:space="preserve">Poor bone marrow function (neutrophil &lt; 1. 5 X 10 </w:t>
      </w:r>
      <w:r>
        <w:rPr>
          <w:position w:val="8"/>
          <w:sz w:val="19"/>
        </w:rPr>
        <w:t xml:space="preserve">9 </w:t>
      </w:r>
      <w:r>
        <w:rPr/>
        <w:t xml:space="preserve">/L or PLT &lt; 100 X 10 </w:t>
      </w:r>
      <w:r>
        <w:rPr>
          <w:position w:val="8"/>
          <w:sz w:val="19"/>
        </w:rPr>
        <w:t xml:space="preserve">9 </w:t>
      </w:r>
      <w:r>
        <w:rPr/>
        <w:t xml:space="preserve">/L) </w:t>
      </w:r>
    </w:p>
    <w:p>
      <w:pPr>
        <w:pStyle w:val="TextBody"/>
        <w:bidi w:val="0"/>
        <w:spacing w:before="0" w:after="283"/>
        <w:jc w:val="start"/>
        <w:rPr/>
      </w:pPr>
      <w:r>
        <w:rPr/>
        <w:t xml:space="preserve">Any history of cancer within the past 5 years </w:t>
      </w:r>
    </w:p>
    <w:p>
      <w:pPr>
        <w:pStyle w:val="TextBody"/>
        <w:bidi w:val="0"/>
        <w:spacing w:before="0" w:after="283"/>
        <w:jc w:val="start"/>
        <w:rPr/>
      </w:pPr>
      <w:r>
        <w:rPr/>
        <w:t xml:space="preserve">Treatment with any investigational drugs within 30 days before this study </w:t>
      </w:r>
    </w:p>
    <w:p>
      <w:pPr>
        <w:pStyle w:val="TextBody"/>
        <w:bidi w:val="0"/>
        <w:spacing w:before="0" w:after="283"/>
        <w:jc w:val="start"/>
        <w:rPr/>
      </w:pPr>
      <w:r>
        <w:rPr/>
        <w:t xml:space="preserve">Statistics: In order to achieve 100 events with an 80% power, this study needed at least three hundred and eighty patients. An interim analysis was conducted after 40 events (2 years; A = 0. 0008) and a final analysis after 100 events (3 years; A = 0. 05). </w:t>
      </w:r>
    </w:p>
    <w:p>
      <w:pPr>
        <w:pStyle w:val="TextBody"/>
        <w:bidi w:val="0"/>
        <w:spacing w:before="0" w:after="283"/>
        <w:jc w:val="start"/>
        <w:rPr/>
      </w:pPr>
      <w:r>
        <w:rPr/>
        <w:t xml:space="preserve">Results: The results of this study can be summarized in Table 2 listed below. </w:t>
      </w:r>
    </w:p>
    <w:tbl>
      <w:tblPr>
        <w:tblW w:w="5276" w:type="dxa"/>
        <w:jc w:val="start"/>
        <w:tblInd w:w="0" w:type="dxa"/>
        <w:tblLayout w:type="fixed"/>
        <w:tblCellMar>
          <w:top w:w="28" w:type="dxa"/>
          <w:start w:w="28" w:type="dxa"/>
          <w:bottom w:w="28" w:type="dxa"/>
          <w:end w:w="28" w:type="dxa"/>
        </w:tblCellMar>
      </w:tblPr>
      <w:tblGrid>
        <w:gridCol w:w="1855"/>
        <w:gridCol w:w="1103"/>
        <w:gridCol w:w="1270"/>
        <w:gridCol w:w="1048"/>
      </w:tblGrid>
      <w:tr>
        <w:trPr/>
        <w:tc>
          <w:tcPr>
            <w:tcW w:w="5276" w:type="dxa"/>
            <w:gridSpan w:val="4"/>
            <w:tcBorders/>
            <w:vAlign w:val="center"/>
          </w:tcPr>
          <w:p>
            <w:pPr>
              <w:pStyle w:val="TableContents"/>
              <w:bidi w:val="0"/>
              <w:spacing w:before="0" w:after="283"/>
              <w:jc w:val="start"/>
              <w:rPr/>
            </w:pPr>
            <w:r>
              <w:rPr/>
              <w:t xml:space="preserve">TABLE 2: RESULTS OF R-CHOP AND R-ACVBP CHEMOTHERAPY REGIMENS </w:t>
            </w:r>
            <w:r>
              <w:rPr>
                <w:position w:val="8"/>
                <w:sz w:val="19"/>
              </w:rPr>
              <w:t xml:space="preserve">2 </w:t>
            </w:r>
          </w:p>
        </w:tc>
      </w:tr>
      <w:tr>
        <w:trPr/>
        <w:tc>
          <w:tcPr>
            <w:tcW w:w="1855" w:type="dxa"/>
            <w:tcBorders/>
            <w:vAlign w:val="center"/>
          </w:tcPr>
          <w:p>
            <w:pPr>
              <w:pStyle w:val="TableContents"/>
              <w:bidi w:val="0"/>
              <w:spacing w:before="0" w:after="283"/>
              <w:jc w:val="start"/>
              <w:rPr/>
            </w:pPr>
            <w:r>
              <w:rPr/>
              <w:t xml:space="preserve">CATEGORY </w:t>
            </w:r>
          </w:p>
        </w:tc>
        <w:tc>
          <w:tcPr>
            <w:tcW w:w="1103" w:type="dxa"/>
            <w:tcBorders/>
            <w:vAlign w:val="center"/>
          </w:tcPr>
          <w:p>
            <w:pPr>
              <w:pStyle w:val="TableContents"/>
              <w:bidi w:val="0"/>
              <w:spacing w:before="0" w:after="283"/>
              <w:jc w:val="start"/>
              <w:rPr/>
            </w:pPr>
            <w:r>
              <w:rPr/>
              <w:t xml:space="preserve">R-CHOP ARM </w:t>
            </w:r>
          </w:p>
        </w:tc>
        <w:tc>
          <w:tcPr>
            <w:tcW w:w="1270" w:type="dxa"/>
            <w:tcBorders/>
            <w:vAlign w:val="center"/>
          </w:tcPr>
          <w:p>
            <w:pPr>
              <w:pStyle w:val="TableContents"/>
              <w:bidi w:val="0"/>
              <w:spacing w:before="0" w:after="283"/>
              <w:jc w:val="start"/>
              <w:rPr/>
            </w:pPr>
            <w:r>
              <w:rPr/>
              <w:t xml:space="preserve">R-ACVBP ARM </w:t>
            </w:r>
          </w:p>
        </w:tc>
        <w:tc>
          <w:tcPr>
            <w:tcW w:w="1048" w:type="dxa"/>
            <w:tcBorders/>
            <w:vAlign w:val="center"/>
          </w:tcPr>
          <w:p>
            <w:pPr>
              <w:pStyle w:val="TableContents"/>
              <w:bidi w:val="0"/>
              <w:spacing w:before="0" w:after="283"/>
              <w:jc w:val="start"/>
              <w:rPr/>
            </w:pPr>
            <w:r>
              <w:rPr/>
              <w:t xml:space="preserve">P VALUE </w:t>
            </w:r>
          </w:p>
        </w:tc>
      </w:tr>
      <w:tr>
        <w:trPr/>
        <w:tc>
          <w:tcPr>
            <w:tcW w:w="1855" w:type="dxa"/>
            <w:tcBorders/>
            <w:vAlign w:val="center"/>
          </w:tcPr>
          <w:p>
            <w:pPr>
              <w:pStyle w:val="TableContents"/>
              <w:bidi w:val="0"/>
              <w:spacing w:before="0" w:after="283"/>
              <w:jc w:val="start"/>
              <w:rPr/>
            </w:pPr>
            <w:r>
              <w:rPr/>
              <w:t xml:space="preserve">3-YR event-free survival </w:t>
            </w:r>
          </w:p>
        </w:tc>
        <w:tc>
          <w:tcPr>
            <w:tcW w:w="1103" w:type="dxa"/>
            <w:tcBorders/>
            <w:vAlign w:val="center"/>
          </w:tcPr>
          <w:p>
            <w:pPr>
              <w:pStyle w:val="TableContents"/>
              <w:bidi w:val="0"/>
              <w:spacing w:before="0" w:after="283"/>
              <w:jc w:val="start"/>
              <w:rPr/>
            </w:pPr>
            <w:r>
              <w:rPr/>
              <w:t xml:space="preserve">67% </w:t>
            </w:r>
          </w:p>
        </w:tc>
        <w:tc>
          <w:tcPr>
            <w:tcW w:w="1270" w:type="dxa"/>
            <w:tcBorders/>
            <w:vAlign w:val="center"/>
          </w:tcPr>
          <w:p>
            <w:pPr>
              <w:pStyle w:val="TableContents"/>
              <w:bidi w:val="0"/>
              <w:spacing w:before="0" w:after="283"/>
              <w:jc w:val="start"/>
              <w:rPr/>
            </w:pPr>
            <w:r>
              <w:rPr/>
              <w:t xml:space="preserve">81% </w:t>
            </w:r>
          </w:p>
        </w:tc>
        <w:tc>
          <w:tcPr>
            <w:tcW w:w="1048" w:type="dxa"/>
            <w:tcBorders/>
            <w:vAlign w:val="center"/>
          </w:tcPr>
          <w:p>
            <w:pPr>
              <w:pStyle w:val="TableContents"/>
              <w:bidi w:val="0"/>
              <w:spacing w:before="0" w:after="283"/>
              <w:jc w:val="start"/>
              <w:rPr/>
            </w:pPr>
            <w:r>
              <w:rPr/>
              <w:t xml:space="preserve">P = 0. 0035 </w:t>
            </w:r>
          </w:p>
        </w:tc>
      </w:tr>
      <w:tr>
        <w:trPr/>
        <w:tc>
          <w:tcPr>
            <w:tcW w:w="1855" w:type="dxa"/>
            <w:tcBorders/>
            <w:vAlign w:val="center"/>
          </w:tcPr>
          <w:p>
            <w:pPr>
              <w:pStyle w:val="TableContents"/>
              <w:bidi w:val="0"/>
              <w:spacing w:before="0" w:after="283"/>
              <w:jc w:val="start"/>
              <w:rPr/>
            </w:pPr>
            <w:r>
              <w:rPr/>
              <w:t xml:space="preserve">3-YR progression-free survival </w:t>
            </w:r>
          </w:p>
        </w:tc>
        <w:tc>
          <w:tcPr>
            <w:tcW w:w="1103" w:type="dxa"/>
            <w:tcBorders/>
            <w:vAlign w:val="center"/>
          </w:tcPr>
          <w:p>
            <w:pPr>
              <w:pStyle w:val="TableContents"/>
              <w:bidi w:val="0"/>
              <w:spacing w:before="0" w:after="283"/>
              <w:jc w:val="start"/>
              <w:rPr/>
            </w:pPr>
            <w:r>
              <w:rPr/>
              <w:t xml:space="preserve">73% </w:t>
            </w:r>
          </w:p>
        </w:tc>
        <w:tc>
          <w:tcPr>
            <w:tcW w:w="1270" w:type="dxa"/>
            <w:tcBorders/>
            <w:vAlign w:val="center"/>
          </w:tcPr>
          <w:p>
            <w:pPr>
              <w:pStyle w:val="TableContents"/>
              <w:bidi w:val="0"/>
              <w:spacing w:before="0" w:after="283"/>
              <w:jc w:val="start"/>
              <w:rPr/>
            </w:pPr>
            <w:r>
              <w:rPr/>
              <w:t xml:space="preserve">87% </w:t>
            </w:r>
          </w:p>
        </w:tc>
        <w:tc>
          <w:tcPr>
            <w:tcW w:w="1048" w:type="dxa"/>
            <w:tcBorders/>
            <w:vAlign w:val="center"/>
          </w:tcPr>
          <w:p>
            <w:pPr>
              <w:pStyle w:val="TableContents"/>
              <w:bidi w:val="0"/>
              <w:spacing w:before="0" w:after="283"/>
              <w:jc w:val="start"/>
              <w:rPr/>
            </w:pPr>
            <w:r>
              <w:rPr/>
              <w:t xml:space="preserve">P = 0. 0015 </w:t>
            </w:r>
          </w:p>
        </w:tc>
      </w:tr>
      <w:tr>
        <w:trPr/>
        <w:tc>
          <w:tcPr>
            <w:tcW w:w="1855" w:type="dxa"/>
            <w:tcBorders/>
            <w:vAlign w:val="center"/>
          </w:tcPr>
          <w:p>
            <w:pPr>
              <w:pStyle w:val="TableContents"/>
              <w:bidi w:val="0"/>
              <w:spacing w:before="0" w:after="283"/>
              <w:jc w:val="start"/>
              <w:rPr/>
            </w:pPr>
            <w:r>
              <w:rPr/>
              <w:t xml:space="preserve">3-YR overall survival </w:t>
            </w:r>
          </w:p>
        </w:tc>
        <w:tc>
          <w:tcPr>
            <w:tcW w:w="1103" w:type="dxa"/>
            <w:tcBorders/>
            <w:vAlign w:val="center"/>
          </w:tcPr>
          <w:p>
            <w:pPr>
              <w:pStyle w:val="TableContents"/>
              <w:bidi w:val="0"/>
              <w:spacing w:before="0" w:after="283"/>
              <w:jc w:val="start"/>
              <w:rPr/>
            </w:pPr>
            <w:r>
              <w:rPr/>
              <w:t xml:space="preserve">84% </w:t>
            </w:r>
          </w:p>
        </w:tc>
        <w:tc>
          <w:tcPr>
            <w:tcW w:w="1270" w:type="dxa"/>
            <w:tcBorders/>
            <w:vAlign w:val="center"/>
          </w:tcPr>
          <w:p>
            <w:pPr>
              <w:pStyle w:val="TableContents"/>
              <w:bidi w:val="0"/>
              <w:spacing w:before="0" w:after="283"/>
              <w:jc w:val="start"/>
              <w:rPr/>
            </w:pPr>
            <w:r>
              <w:rPr/>
              <w:t xml:space="preserve">92% </w:t>
            </w:r>
          </w:p>
        </w:tc>
        <w:tc>
          <w:tcPr>
            <w:tcW w:w="1048" w:type="dxa"/>
            <w:tcBorders/>
            <w:vAlign w:val="center"/>
          </w:tcPr>
          <w:p>
            <w:pPr>
              <w:pStyle w:val="TableContents"/>
              <w:bidi w:val="0"/>
              <w:spacing w:before="0" w:after="283"/>
              <w:jc w:val="start"/>
              <w:rPr/>
            </w:pPr>
            <w:r>
              <w:rPr/>
              <w:t xml:space="preserve">P = 0. 0071 </w:t>
            </w:r>
          </w:p>
        </w:tc>
      </w:tr>
      <w:tr>
        <w:trPr/>
        <w:tc>
          <w:tcPr>
            <w:tcW w:w="1855" w:type="dxa"/>
            <w:tcBorders/>
            <w:vAlign w:val="center"/>
          </w:tcPr>
          <w:p>
            <w:pPr>
              <w:pStyle w:val="TableContents"/>
              <w:bidi w:val="0"/>
              <w:spacing w:before="0" w:after="283"/>
              <w:jc w:val="start"/>
              <w:rPr/>
            </w:pPr>
            <w:r>
              <w:rPr/>
              <w:t xml:space="preserve">Serious adverse effects </w:t>
            </w:r>
          </w:p>
        </w:tc>
        <w:tc>
          <w:tcPr>
            <w:tcW w:w="1103" w:type="dxa"/>
            <w:tcBorders/>
            <w:vAlign w:val="center"/>
          </w:tcPr>
          <w:p>
            <w:pPr>
              <w:pStyle w:val="TableContents"/>
              <w:bidi w:val="0"/>
              <w:spacing w:before="0" w:after="283"/>
              <w:jc w:val="start"/>
              <w:rPr/>
            </w:pPr>
            <w:r>
              <w:rPr/>
              <w:t xml:space="preserve">15% </w:t>
            </w:r>
          </w:p>
        </w:tc>
        <w:tc>
          <w:tcPr>
            <w:tcW w:w="1270" w:type="dxa"/>
            <w:tcBorders/>
            <w:vAlign w:val="center"/>
          </w:tcPr>
          <w:p>
            <w:pPr>
              <w:pStyle w:val="TableContents"/>
              <w:bidi w:val="0"/>
              <w:spacing w:before="0" w:after="283"/>
              <w:jc w:val="start"/>
              <w:rPr/>
            </w:pPr>
            <w:r>
              <w:rPr/>
              <w:t xml:space="preserve">42% </w:t>
            </w:r>
          </w:p>
        </w:tc>
        <w:tc>
          <w:tcPr>
            <w:tcW w:w="1048" w:type="dxa"/>
            <w:tcBorders/>
            <w:vAlign w:val="center"/>
          </w:tcPr>
          <w:p>
            <w:pPr>
              <w:pStyle w:val="TableContents"/>
              <w:bidi w:val="0"/>
              <w:spacing w:before="0" w:after="283"/>
              <w:jc w:val="start"/>
              <w:rPr/>
            </w:pPr>
            <w:r>
              <w:rPr/>
              <w:t xml:space="preserve">N/A </w:t>
            </w:r>
          </w:p>
        </w:tc>
      </w:tr>
      <w:tr>
        <w:trPr/>
        <w:tc>
          <w:tcPr>
            <w:tcW w:w="1855" w:type="dxa"/>
            <w:tcBorders/>
            <w:vAlign w:val="center"/>
          </w:tcPr>
          <w:p>
            <w:pPr>
              <w:pStyle w:val="TableContents"/>
              <w:bidi w:val="0"/>
              <w:spacing w:before="0" w:after="283"/>
              <w:jc w:val="start"/>
              <w:rPr/>
            </w:pPr>
            <w:r>
              <w:rPr/>
              <w:t xml:space="preserve">Febrile neutropenia </w:t>
            </w:r>
          </w:p>
        </w:tc>
        <w:tc>
          <w:tcPr>
            <w:tcW w:w="1103" w:type="dxa"/>
            <w:tcBorders/>
            <w:vAlign w:val="center"/>
          </w:tcPr>
          <w:p>
            <w:pPr>
              <w:pStyle w:val="TableContents"/>
              <w:bidi w:val="0"/>
              <w:spacing w:before="0" w:after="283"/>
              <w:jc w:val="start"/>
              <w:rPr/>
            </w:pPr>
            <w:r>
              <w:rPr/>
              <w:t xml:space="preserve">9% </w:t>
            </w:r>
          </w:p>
        </w:tc>
        <w:tc>
          <w:tcPr>
            <w:tcW w:w="1270" w:type="dxa"/>
            <w:tcBorders/>
            <w:vAlign w:val="center"/>
          </w:tcPr>
          <w:p>
            <w:pPr>
              <w:pStyle w:val="TableContents"/>
              <w:bidi w:val="0"/>
              <w:spacing w:before="0" w:after="283"/>
              <w:jc w:val="start"/>
              <w:rPr/>
            </w:pPr>
            <w:r>
              <w:rPr/>
              <w:t xml:space="preserve">38% </w:t>
            </w:r>
          </w:p>
        </w:tc>
        <w:tc>
          <w:tcPr>
            <w:tcW w:w="1048" w:type="dxa"/>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t xml:space="preserve">Conclusion: There were great improvements in primary and secondary endpoints in patients receiving R-ACVBP compared to R-CHOP. For patients that may relapse, RCHOP was be a subtherapeutic option. The downside to R-ACVBP is its malevolent side effect profile versus R-CHOP. For younger patients with low-to-intermediate risk of diffuse large B-cell lymphoma, R-ACVBP may be a good first-line approach to improve survival. </w:t>
      </w:r>
      <w:r>
        <w:rPr>
          <w:position w:val="8"/>
          <w:sz w:val="19"/>
        </w:rPr>
        <w:t xml:space="preserve">3 </w:t>
      </w:r>
    </w:p>
    <w:p>
      <w:pPr>
        <w:pStyle w:val="TextBody"/>
        <w:bidi w:val="0"/>
        <w:spacing w:before="0" w:after="283"/>
        <w:jc w:val="start"/>
        <w:rPr/>
      </w:pPr>
      <w:r>
        <w:rPr/>
        <w:t xml:space="preserve">Cunningham D et al. </w:t>
      </w:r>
    </w:p>
    <w:p>
      <w:pPr>
        <w:pStyle w:val="TextBody"/>
        <w:bidi w:val="0"/>
        <w:spacing w:before="0" w:after="283"/>
        <w:jc w:val="start"/>
        <w:rPr/>
      </w:pPr>
      <w:r>
        <w:rPr/>
        <w:t xml:space="preserve">Purpose: In patients of all ages, this study will determine if the intense regimen R-CHOP 14, has better overall survival compared to the standard regimen R-CHOP 21. </w:t>
      </w:r>
    </w:p>
    <w:p>
      <w:pPr>
        <w:pStyle w:val="TextBody"/>
        <w:bidi w:val="0"/>
        <w:spacing w:before="0" w:after="283"/>
        <w:jc w:val="start"/>
        <w:rPr/>
      </w:pPr>
      <w:r>
        <w:rPr/>
        <w:t xml:space="preserve">Study Design: Open label, Phase III, randomized control trial </w:t>
      </w:r>
    </w:p>
    <w:p>
      <w:pPr>
        <w:pStyle w:val="TextBody"/>
        <w:bidi w:val="0"/>
        <w:spacing w:before="0" w:after="283"/>
        <w:jc w:val="start"/>
        <w:rPr/>
      </w:pPr>
      <w:r>
        <w:rPr/>
        <w:t xml:space="preserve">Methods: 1080 untreated LBCL patients were selected from one hundred and nineteen United Kingdom centers. Patients were randomly assigned to receive R-CHOP 14 regimen or R-CHOP 21 regimen. This study took place from March 2005 to November 2008. Five hundred and forty patients were in each arm and the median follow-up was 46 months. Patients were assessed every 3 months for 1 year, then every 6 months for 2 years, and then every year thereafter. The primary endpoint that was studied was overall survival in patients. Secondary endpoints include: progression-free survival, response, and adverse effects. Table 3 lists a summary of the chemotherapy regimens of R-CHOP 14 and R-CHOP 21. </w:t>
      </w:r>
    </w:p>
    <w:tbl>
      <w:tblPr>
        <w:tblW w:w="5276" w:type="dxa"/>
        <w:jc w:val="start"/>
        <w:tblInd w:w="0" w:type="dxa"/>
        <w:tblLayout w:type="fixed"/>
        <w:tblCellMar>
          <w:top w:w="28" w:type="dxa"/>
          <w:start w:w="28" w:type="dxa"/>
          <w:bottom w:w="28" w:type="dxa"/>
          <w:end w:w="28" w:type="dxa"/>
        </w:tblCellMar>
      </w:tblPr>
      <w:tblGrid>
        <w:gridCol w:w="2591"/>
        <w:gridCol w:w="2685"/>
      </w:tblGrid>
      <w:tr>
        <w:trPr/>
        <w:tc>
          <w:tcPr>
            <w:tcW w:w="5276" w:type="dxa"/>
            <w:gridSpan w:val="2"/>
            <w:tcBorders/>
            <w:vAlign w:val="center"/>
          </w:tcPr>
          <w:p>
            <w:pPr>
              <w:pStyle w:val="TableContents"/>
              <w:bidi w:val="0"/>
              <w:spacing w:before="0" w:after="283"/>
              <w:jc w:val="start"/>
              <w:rPr/>
            </w:pPr>
            <w:r>
              <w:rPr/>
              <w:t xml:space="preserve">TABLE 3: CHEMOTHERAPY REGIMENS OF R-CHOP 14 AND R-CHOP 21 </w:t>
            </w:r>
            <w:r>
              <w:rPr>
                <w:position w:val="8"/>
                <w:sz w:val="19"/>
              </w:rPr>
              <w:t xml:space="preserve">3 </w:t>
            </w:r>
          </w:p>
        </w:tc>
      </w:tr>
      <w:tr>
        <w:trPr/>
        <w:tc>
          <w:tcPr>
            <w:tcW w:w="2591" w:type="dxa"/>
            <w:tcBorders/>
            <w:vAlign w:val="center"/>
          </w:tcPr>
          <w:p>
            <w:pPr>
              <w:pStyle w:val="TableContents"/>
              <w:bidi w:val="0"/>
              <w:jc w:val="start"/>
              <w:rPr/>
            </w:pPr>
            <w:r>
              <w:rPr/>
              <w:t xml:space="preserve">R-CHOP 14 ARM </w:t>
            </w:r>
          </w:p>
          <w:p>
            <w:pPr>
              <w:pStyle w:val="TableContents"/>
              <w:bidi w:val="0"/>
              <w:jc w:val="start"/>
              <w:rPr/>
            </w:pPr>
            <w:r>
              <w:rPr>
                <w:rStyle w:val="Emphasis"/>
              </w:rPr>
              <w:t xml:space="preserve">TOTAL OF 6 CYCLES GIVEN EVERY 14 DAYS AND THEN AN </w:t>
            </w:r>
          </w:p>
          <w:p>
            <w:pPr>
              <w:pStyle w:val="TableContents"/>
              <w:bidi w:val="0"/>
              <w:spacing w:before="0" w:after="283"/>
              <w:jc w:val="start"/>
              <w:rPr/>
            </w:pPr>
            <w:r>
              <w:rPr>
                <w:rStyle w:val="Emphasis"/>
              </w:rPr>
              <w:t xml:space="preserve">ADDITIONAL 2 CYCLES OF RITUXIMAB EVERY 14 DAYS </w:t>
            </w:r>
          </w:p>
        </w:tc>
        <w:tc>
          <w:tcPr>
            <w:tcW w:w="2685" w:type="dxa"/>
            <w:tcBorders/>
            <w:vAlign w:val="center"/>
          </w:tcPr>
          <w:p>
            <w:pPr>
              <w:pStyle w:val="TableContents"/>
              <w:bidi w:val="0"/>
              <w:jc w:val="start"/>
              <w:rPr/>
            </w:pPr>
            <w:r>
              <w:rPr/>
              <w:t xml:space="preserve">R-CHOP 21 ARM </w:t>
            </w:r>
          </w:p>
          <w:p>
            <w:pPr>
              <w:pStyle w:val="TableContents"/>
              <w:bidi w:val="0"/>
              <w:spacing w:before="0" w:after="0"/>
              <w:jc w:val="start"/>
              <w:rPr/>
            </w:pPr>
            <w:r>
              <w:rPr>
                <w:rStyle w:val="Emphasis"/>
              </w:rPr>
              <w:t xml:space="preserve">TOTAL OF 8 CYCLES GIVEN EVERY 21 DAYS </w:t>
            </w:r>
          </w:p>
          <w:tbl>
            <w:tblPr>
              <w:tblW w:w="2629" w:type="dxa"/>
              <w:jc w:val="start"/>
              <w:tblInd w:w="0" w:type="dxa"/>
              <w:tblLayout w:type="fixed"/>
              <w:tblCellMar>
                <w:top w:w="28" w:type="dxa"/>
                <w:start w:w="28" w:type="dxa"/>
                <w:bottom w:w="28" w:type="dxa"/>
                <w:end w:w="28" w:type="dxa"/>
              </w:tblCellMar>
            </w:tblPr>
            <w:tblGrid>
              <w:gridCol w:w="609"/>
              <w:gridCol w:w="2020"/>
            </w:tblGrid>
            <w:tr>
              <w:trPr/>
              <w:tc>
                <w:tcPr>
                  <w:tcW w:w="609" w:type="dxa"/>
                  <w:tcBorders/>
                  <w:vAlign w:val="center"/>
                </w:tcPr>
                <w:p>
                  <w:pPr>
                    <w:pStyle w:val="TableContents"/>
                    <w:bidi w:val="0"/>
                    <w:spacing w:before="0" w:after="283"/>
                    <w:jc w:val="start"/>
                    <w:rPr/>
                  </w:pPr>
                  <w:r>
                    <w:rPr/>
                    <w:t xml:space="preserve">750 mg/m </w:t>
                  </w:r>
                  <w:r>
                    <w:rPr>
                      <w:position w:val="8"/>
                      <w:sz w:val="19"/>
                    </w:rPr>
                    <w:t xml:space="preserve">2 </w:t>
                  </w:r>
                </w:p>
              </w:tc>
              <w:tc>
                <w:tcPr>
                  <w:tcW w:w="2020" w:type="dxa"/>
                  <w:tcBorders/>
                  <w:vAlign w:val="center"/>
                </w:tcPr>
                <w:p>
                  <w:pPr>
                    <w:pStyle w:val="TableContents"/>
                    <w:bidi w:val="0"/>
                    <w:spacing w:before="0" w:after="283"/>
                    <w:jc w:val="start"/>
                    <w:rPr/>
                  </w:pPr>
                  <w:r>
                    <w:rPr/>
                    <w:t xml:space="preserve">Cyclophosphamide </w:t>
                  </w:r>
                </w:p>
              </w:tc>
            </w:tr>
            <w:tr>
              <w:trPr/>
              <w:tc>
                <w:tcPr>
                  <w:tcW w:w="609" w:type="dxa"/>
                  <w:tcBorders/>
                  <w:vAlign w:val="center"/>
                </w:tcPr>
                <w:p>
                  <w:pPr>
                    <w:pStyle w:val="TableContents"/>
                    <w:bidi w:val="0"/>
                    <w:spacing w:before="0" w:after="283"/>
                    <w:jc w:val="start"/>
                    <w:rPr/>
                  </w:pPr>
                  <w:r>
                    <w:rPr/>
                    <w:t xml:space="preserve">50 mg/m </w:t>
                  </w:r>
                  <w:r>
                    <w:rPr>
                      <w:position w:val="8"/>
                      <w:sz w:val="19"/>
                    </w:rPr>
                    <w:t xml:space="preserve">2 </w:t>
                  </w:r>
                </w:p>
              </w:tc>
              <w:tc>
                <w:tcPr>
                  <w:tcW w:w="2020" w:type="dxa"/>
                  <w:tcBorders/>
                  <w:vAlign w:val="center"/>
                </w:tcPr>
                <w:p>
                  <w:pPr>
                    <w:pStyle w:val="TableContents"/>
                    <w:bidi w:val="0"/>
                    <w:spacing w:before="0" w:after="283"/>
                    <w:jc w:val="start"/>
                    <w:rPr/>
                  </w:pPr>
                  <w:r>
                    <w:rPr/>
                    <w:t xml:space="preserve">Doxorubicin </w:t>
                  </w:r>
                </w:p>
              </w:tc>
            </w:tr>
            <w:tr>
              <w:trPr/>
              <w:tc>
                <w:tcPr>
                  <w:tcW w:w="609" w:type="dxa"/>
                  <w:tcBorders/>
                  <w:vAlign w:val="center"/>
                </w:tcPr>
                <w:p>
                  <w:pPr>
                    <w:pStyle w:val="TableContents"/>
                    <w:bidi w:val="0"/>
                    <w:spacing w:before="0" w:after="283"/>
                    <w:jc w:val="start"/>
                    <w:rPr/>
                  </w:pPr>
                  <w:r>
                    <w:rPr/>
                    <w:t xml:space="preserve">2 mg dose </w:t>
                  </w:r>
                </w:p>
              </w:tc>
              <w:tc>
                <w:tcPr>
                  <w:tcW w:w="2020" w:type="dxa"/>
                  <w:tcBorders/>
                  <w:vAlign w:val="center"/>
                </w:tcPr>
                <w:p>
                  <w:pPr>
                    <w:pStyle w:val="TableContents"/>
                    <w:bidi w:val="0"/>
                    <w:spacing w:before="0" w:after="283"/>
                    <w:jc w:val="start"/>
                    <w:rPr/>
                  </w:pPr>
                  <w:r>
                    <w:rPr/>
                    <w:t xml:space="preserve">Vincristine </w:t>
                  </w:r>
                </w:p>
              </w:tc>
            </w:tr>
            <w:tr>
              <w:trPr/>
              <w:tc>
                <w:tcPr>
                  <w:tcW w:w="609" w:type="dxa"/>
                  <w:tcBorders/>
                  <w:vAlign w:val="center"/>
                </w:tcPr>
                <w:p>
                  <w:pPr>
                    <w:pStyle w:val="TableContents"/>
                    <w:bidi w:val="0"/>
                    <w:spacing w:before="0" w:after="283"/>
                    <w:jc w:val="start"/>
                    <w:rPr/>
                  </w:pPr>
                  <w:r>
                    <w:rPr/>
                    <w:t xml:space="preserve">375 mg/m </w:t>
                  </w:r>
                  <w:r>
                    <w:rPr>
                      <w:position w:val="8"/>
                      <w:sz w:val="19"/>
                    </w:rPr>
                    <w:t xml:space="preserve">2 </w:t>
                  </w:r>
                </w:p>
              </w:tc>
              <w:tc>
                <w:tcPr>
                  <w:tcW w:w="2020" w:type="dxa"/>
                  <w:tcBorders/>
                  <w:vAlign w:val="center"/>
                </w:tcPr>
                <w:p>
                  <w:pPr>
                    <w:pStyle w:val="TableContents"/>
                    <w:bidi w:val="0"/>
                    <w:spacing w:before="0" w:after="283"/>
                    <w:jc w:val="start"/>
                    <w:rPr/>
                  </w:pPr>
                  <w:r>
                    <w:rPr/>
                    <w:t xml:space="preserve">Rituximab on day 1 </w:t>
                  </w:r>
                </w:p>
              </w:tc>
            </w:tr>
            <w:tr>
              <w:trPr/>
              <w:tc>
                <w:tcPr>
                  <w:tcW w:w="609" w:type="dxa"/>
                  <w:tcBorders/>
                  <w:vAlign w:val="center"/>
                </w:tcPr>
                <w:p>
                  <w:pPr>
                    <w:pStyle w:val="TableContents"/>
                    <w:bidi w:val="0"/>
                    <w:spacing w:before="0" w:after="283"/>
                    <w:jc w:val="start"/>
                    <w:rPr/>
                  </w:pPr>
                  <w:r>
                    <w:rPr/>
                    <w:t xml:space="preserve">100 mg </w:t>
                  </w:r>
                </w:p>
              </w:tc>
              <w:tc>
                <w:tcPr>
                  <w:tcW w:w="2020" w:type="dxa"/>
                  <w:tcBorders/>
                  <w:vAlign w:val="center"/>
                </w:tcPr>
                <w:p>
                  <w:pPr>
                    <w:pStyle w:val="TableContents"/>
                    <w:bidi w:val="0"/>
                    <w:spacing w:before="0" w:after="283"/>
                    <w:jc w:val="start"/>
                    <w:rPr/>
                  </w:pPr>
                  <w:r>
                    <w:rPr/>
                    <w:t xml:space="preserve">Prednisolone on day 1-5 </w:t>
                  </w:r>
                </w:p>
              </w:tc>
            </w:tr>
          </w:tbl>
          <w:p>
            <w:pPr>
              <w:pStyle w:val="TableContents"/>
              <w:bidi w:val="0"/>
              <w:spacing w:before="0" w:after="283"/>
              <w:jc w:val="start"/>
              <w:rPr/>
            </w:pPr>
            <w:r>
              <w:rPr/>
            </w:r>
          </w:p>
        </w:tc>
      </w:tr>
      <w:tr>
        <w:trPr/>
        <w:tc>
          <w:tcPr>
            <w:tcW w:w="2591" w:type="dxa"/>
            <w:tcBorders/>
            <w:vAlign w:val="center"/>
          </w:tcPr>
          <w:tbl>
            <w:tblPr>
              <w:tblW w:w="2535" w:type="dxa"/>
              <w:jc w:val="start"/>
              <w:tblInd w:w="0" w:type="dxa"/>
              <w:tblLayout w:type="fixed"/>
              <w:tblCellMar>
                <w:top w:w="28" w:type="dxa"/>
                <w:start w:w="28" w:type="dxa"/>
                <w:bottom w:w="28" w:type="dxa"/>
                <w:end w:w="28" w:type="dxa"/>
              </w:tblCellMar>
            </w:tblPr>
            <w:tblGrid>
              <w:gridCol w:w="507"/>
              <w:gridCol w:w="2028"/>
            </w:tblGrid>
            <w:tr>
              <w:trPr/>
              <w:tc>
                <w:tcPr>
                  <w:tcW w:w="507" w:type="dxa"/>
                  <w:tcBorders/>
                  <w:vAlign w:val="center"/>
                </w:tcPr>
                <w:p>
                  <w:pPr>
                    <w:pStyle w:val="TableContents"/>
                    <w:bidi w:val="0"/>
                    <w:spacing w:before="0" w:after="283"/>
                    <w:jc w:val="start"/>
                    <w:rPr/>
                  </w:pPr>
                  <w:r>
                    <w:rPr/>
                    <w:t xml:space="preserve">750 mg/m </w:t>
                  </w:r>
                  <w:r>
                    <w:rPr>
                      <w:position w:val="8"/>
                      <w:sz w:val="19"/>
                    </w:rPr>
                    <w:t xml:space="preserve">2 </w:t>
                  </w:r>
                </w:p>
              </w:tc>
              <w:tc>
                <w:tcPr>
                  <w:tcW w:w="2028" w:type="dxa"/>
                  <w:tcBorders/>
                  <w:vAlign w:val="center"/>
                </w:tcPr>
                <w:p>
                  <w:pPr>
                    <w:pStyle w:val="TableContents"/>
                    <w:bidi w:val="0"/>
                    <w:spacing w:before="0" w:after="283"/>
                    <w:jc w:val="start"/>
                    <w:rPr/>
                  </w:pPr>
                  <w:r>
                    <w:rPr/>
                    <w:t xml:space="preserve">Cyclophosphamide </w:t>
                  </w:r>
                </w:p>
              </w:tc>
            </w:tr>
            <w:tr>
              <w:trPr/>
              <w:tc>
                <w:tcPr>
                  <w:tcW w:w="507" w:type="dxa"/>
                  <w:tcBorders/>
                  <w:vAlign w:val="center"/>
                </w:tcPr>
                <w:p>
                  <w:pPr>
                    <w:pStyle w:val="TableContents"/>
                    <w:bidi w:val="0"/>
                    <w:spacing w:before="0" w:after="283"/>
                    <w:jc w:val="start"/>
                    <w:rPr/>
                  </w:pPr>
                  <w:r>
                    <w:rPr/>
                    <w:t xml:space="preserve">50 mg/m </w:t>
                  </w:r>
                  <w:r>
                    <w:rPr>
                      <w:position w:val="8"/>
                      <w:sz w:val="19"/>
                    </w:rPr>
                    <w:t xml:space="preserve">2 </w:t>
                  </w:r>
                </w:p>
              </w:tc>
              <w:tc>
                <w:tcPr>
                  <w:tcW w:w="2028" w:type="dxa"/>
                  <w:tcBorders/>
                  <w:vAlign w:val="center"/>
                </w:tcPr>
                <w:p>
                  <w:pPr>
                    <w:pStyle w:val="TableContents"/>
                    <w:bidi w:val="0"/>
                    <w:spacing w:before="0" w:after="283"/>
                    <w:jc w:val="start"/>
                    <w:rPr/>
                  </w:pPr>
                  <w:r>
                    <w:rPr/>
                    <w:t xml:space="preserve">Doxorubicin </w:t>
                  </w:r>
                </w:p>
              </w:tc>
            </w:tr>
            <w:tr>
              <w:trPr/>
              <w:tc>
                <w:tcPr>
                  <w:tcW w:w="507" w:type="dxa"/>
                  <w:tcBorders/>
                  <w:vAlign w:val="center"/>
                </w:tcPr>
                <w:p>
                  <w:pPr>
                    <w:pStyle w:val="TableContents"/>
                    <w:bidi w:val="0"/>
                    <w:spacing w:before="0" w:after="283"/>
                    <w:jc w:val="start"/>
                    <w:rPr/>
                  </w:pPr>
                  <w:r>
                    <w:rPr/>
                    <w:t xml:space="preserve">1. 4 mg/m </w:t>
                  </w:r>
                  <w:r>
                    <w:rPr>
                      <w:position w:val="8"/>
                      <w:sz w:val="19"/>
                    </w:rPr>
                    <w:t xml:space="preserve">2 </w:t>
                  </w:r>
                </w:p>
              </w:tc>
              <w:tc>
                <w:tcPr>
                  <w:tcW w:w="2028" w:type="dxa"/>
                  <w:tcBorders/>
                  <w:vAlign w:val="center"/>
                </w:tcPr>
                <w:p>
                  <w:pPr>
                    <w:pStyle w:val="TableContents"/>
                    <w:bidi w:val="0"/>
                    <w:spacing w:before="0" w:after="283"/>
                    <w:jc w:val="start"/>
                    <w:rPr/>
                  </w:pPr>
                  <w:r>
                    <w:rPr/>
                    <w:t xml:space="preserve">Vincristine (Max dose 2 mg/dose) </w:t>
                  </w:r>
                </w:p>
              </w:tc>
            </w:tr>
            <w:tr>
              <w:trPr/>
              <w:tc>
                <w:tcPr>
                  <w:tcW w:w="507" w:type="dxa"/>
                  <w:tcBorders/>
                  <w:vAlign w:val="center"/>
                </w:tcPr>
                <w:p>
                  <w:pPr>
                    <w:pStyle w:val="TableContents"/>
                    <w:bidi w:val="0"/>
                    <w:spacing w:before="0" w:after="283"/>
                    <w:jc w:val="start"/>
                    <w:rPr/>
                  </w:pPr>
                  <w:r>
                    <w:rPr/>
                    <w:t xml:space="preserve">375 mg/m </w:t>
                  </w:r>
                  <w:r>
                    <w:rPr>
                      <w:position w:val="8"/>
                      <w:sz w:val="19"/>
                    </w:rPr>
                    <w:t xml:space="preserve">2 </w:t>
                  </w:r>
                </w:p>
              </w:tc>
              <w:tc>
                <w:tcPr>
                  <w:tcW w:w="2028" w:type="dxa"/>
                  <w:tcBorders/>
                  <w:vAlign w:val="center"/>
                </w:tcPr>
                <w:p>
                  <w:pPr>
                    <w:pStyle w:val="TableContents"/>
                    <w:bidi w:val="0"/>
                    <w:spacing w:before="0" w:after="283"/>
                    <w:jc w:val="start"/>
                    <w:rPr/>
                  </w:pPr>
                  <w:r>
                    <w:rPr/>
                    <w:t xml:space="preserve">Rituximab on day 1 </w:t>
                  </w:r>
                </w:p>
              </w:tc>
            </w:tr>
            <w:tr>
              <w:trPr/>
              <w:tc>
                <w:tcPr>
                  <w:tcW w:w="507" w:type="dxa"/>
                  <w:tcBorders/>
                  <w:vAlign w:val="center"/>
                </w:tcPr>
                <w:p>
                  <w:pPr>
                    <w:pStyle w:val="TableContents"/>
                    <w:bidi w:val="0"/>
                    <w:spacing w:before="0" w:after="283"/>
                    <w:jc w:val="start"/>
                    <w:rPr/>
                  </w:pPr>
                  <w:r>
                    <w:rPr/>
                    <w:t xml:space="preserve">40 mg/m </w:t>
                  </w:r>
                  <w:r>
                    <w:rPr>
                      <w:position w:val="8"/>
                      <w:sz w:val="19"/>
                    </w:rPr>
                    <w:t xml:space="preserve">2 </w:t>
                  </w:r>
                </w:p>
              </w:tc>
              <w:tc>
                <w:tcPr>
                  <w:tcW w:w="2028" w:type="dxa"/>
                  <w:tcBorders/>
                  <w:vAlign w:val="center"/>
                </w:tcPr>
                <w:p>
                  <w:pPr>
                    <w:pStyle w:val="TableContents"/>
                    <w:bidi w:val="0"/>
                    <w:spacing w:before="0" w:after="283"/>
                    <w:jc w:val="start"/>
                    <w:rPr/>
                  </w:pPr>
                  <w:r>
                    <w:rPr/>
                    <w:t xml:space="preserve">Prednisolone on day 1-5 </w:t>
                  </w:r>
                </w:p>
              </w:tc>
            </w:tr>
          </w:tbl>
          <w:p>
            <w:pPr>
              <w:pStyle w:val="TableContents"/>
              <w:bidi w:val="0"/>
              <w:spacing w:before="0" w:after="283"/>
              <w:jc w:val="start"/>
              <w:rPr/>
            </w:pPr>
            <w:r>
              <w:rPr/>
            </w:r>
          </w:p>
        </w:tc>
        <w:tc>
          <w:tcPr>
            <w:tcW w:w="268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Inclusion Criteria </w:t>
      </w:r>
    </w:p>
    <w:p>
      <w:pPr>
        <w:pStyle w:val="TextBody"/>
        <w:bidi w:val="0"/>
        <w:spacing w:before="0" w:after="283"/>
        <w:jc w:val="start"/>
        <w:rPr/>
      </w:pPr>
      <w:r>
        <w:rPr/>
        <w:t xml:space="preserve">At least 18 years old with untreated diffuse large B-cell lymphoma </w:t>
      </w:r>
    </w:p>
    <w:p>
      <w:pPr>
        <w:pStyle w:val="TextBody"/>
        <w:bidi w:val="0"/>
        <w:spacing w:before="0" w:after="283"/>
        <w:jc w:val="start"/>
        <w:rPr/>
      </w:pPr>
      <w:r>
        <w:rPr/>
        <w:t xml:space="preserve">Ann Arbor bulky stage 1A, 1B-IV </w:t>
      </w:r>
    </w:p>
    <w:p>
      <w:pPr>
        <w:pStyle w:val="TextBody"/>
        <w:bidi w:val="0"/>
        <w:spacing w:before="0" w:after="283"/>
        <w:jc w:val="start"/>
        <w:rPr/>
      </w:pPr>
      <w:r>
        <w:rPr/>
        <w:t xml:space="preserve">Good performance status (WHO grade 0-2) </w:t>
      </w:r>
    </w:p>
    <w:p>
      <w:pPr>
        <w:pStyle w:val="TextBody"/>
        <w:bidi w:val="0"/>
        <w:spacing w:before="0" w:after="283"/>
        <w:jc w:val="start"/>
        <w:rPr/>
      </w:pPr>
      <w:r>
        <w:rPr/>
        <w:t xml:space="preserve">Good cardiac, renal, and hepatic function </w:t>
      </w:r>
    </w:p>
    <w:p>
      <w:pPr>
        <w:pStyle w:val="TextBody"/>
        <w:bidi w:val="0"/>
        <w:spacing w:before="0" w:after="283"/>
        <w:jc w:val="start"/>
        <w:rPr/>
      </w:pPr>
      <w:r>
        <w:rPr/>
        <w:t xml:space="preserve">Good hematological function (neutrophil &gt; 1. 5 X 10 </w:t>
      </w:r>
      <w:r>
        <w:rPr>
          <w:position w:val="8"/>
          <w:sz w:val="19"/>
        </w:rPr>
        <w:t xml:space="preserve">9 </w:t>
      </w:r>
      <w:r>
        <w:rPr/>
        <w:t xml:space="preserve">/L or PLT &gt; 100 X 10 </w:t>
      </w:r>
      <w:r>
        <w:rPr>
          <w:position w:val="8"/>
          <w:sz w:val="19"/>
        </w:rPr>
        <w:t xml:space="preserve">9 </w:t>
      </w:r>
      <w:r>
        <w:rPr/>
        <w:t xml:space="preserve">/L) </w:t>
      </w:r>
    </w:p>
    <w:p>
      <w:pPr>
        <w:pStyle w:val="TextBody"/>
        <w:bidi w:val="0"/>
        <w:spacing w:before="0" w:after="283"/>
        <w:jc w:val="start"/>
        <w:rPr/>
      </w:pPr>
      <w:r>
        <w:rPr/>
        <w:t xml:space="preserve">Exclusion Criteria </w:t>
      </w:r>
    </w:p>
    <w:p>
      <w:pPr>
        <w:pStyle w:val="TextBody"/>
        <w:bidi w:val="0"/>
        <w:spacing w:before="0" w:after="283"/>
        <w:jc w:val="start"/>
        <w:rPr/>
      </w:pPr>
      <w:r>
        <w:rPr/>
        <w:t xml:space="preserve">T-cell lymphoma, transformational follicular lymphoma, or indolent lymphoma subtypes </w:t>
      </w:r>
    </w:p>
    <w:p>
      <w:pPr>
        <w:pStyle w:val="TextBody"/>
        <w:bidi w:val="0"/>
        <w:spacing w:before="0" w:after="283"/>
        <w:jc w:val="start"/>
        <w:rPr/>
      </w:pPr>
      <w:r>
        <w:rPr/>
        <w:t xml:space="preserve">CNS involvement </w:t>
      </w:r>
    </w:p>
    <w:p>
      <w:pPr>
        <w:pStyle w:val="TextBody"/>
        <w:bidi w:val="0"/>
        <w:spacing w:before="0" w:after="283"/>
        <w:jc w:val="start"/>
        <w:rPr/>
      </w:pPr>
      <w:r>
        <w:rPr/>
        <w:t xml:space="preserve">Positive results for infections: HIV, hepatitis B, or hepatitis C </w:t>
      </w:r>
    </w:p>
    <w:p>
      <w:pPr>
        <w:pStyle w:val="TextBody"/>
        <w:bidi w:val="0"/>
        <w:spacing w:before="0" w:after="283"/>
        <w:jc w:val="start"/>
        <w:rPr/>
      </w:pPr>
      <w:r>
        <w:rPr/>
        <w:t xml:space="preserve">Active malignancy in the past 10 years </w:t>
      </w:r>
    </w:p>
    <w:p>
      <w:pPr>
        <w:pStyle w:val="TextBody"/>
        <w:bidi w:val="0"/>
        <w:spacing w:before="0" w:after="283"/>
        <w:jc w:val="start"/>
        <w:rPr/>
      </w:pPr>
      <w:r>
        <w:rPr/>
        <w:t xml:space="preserve">Statistics: In order to detect a 5% significance and a 90% power, the intention-to-treat analysis must include 330 overall survival events within 2 years. </w:t>
      </w:r>
    </w:p>
    <w:p>
      <w:pPr>
        <w:pStyle w:val="TextBody"/>
        <w:bidi w:val="0"/>
        <w:spacing w:before="0" w:after="283"/>
        <w:jc w:val="start"/>
        <w:rPr/>
      </w:pPr>
      <w:r>
        <w:rPr/>
        <w:t xml:space="preserve">Results: The primary endpoint (overall survival) in R-CHOP 14 was not met compared to R-CHOP 21. R-CHOP 14 did not improve response, progression free survival, or safety. However, this study was not adequately powered. </w:t>
      </w:r>
    </w:p>
    <w:p>
      <w:pPr>
        <w:pStyle w:val="TextBody"/>
        <w:bidi w:val="0"/>
        <w:spacing w:before="0" w:after="283"/>
        <w:jc w:val="start"/>
        <w:rPr/>
      </w:pPr>
      <w:r>
        <w:rPr/>
        <w:t xml:space="preserve">Table 4 lists the results of R-CHOP 14 and R-CHOP 21 </w:t>
      </w:r>
    </w:p>
    <w:tbl>
      <w:tblPr>
        <w:tblW w:w="5276" w:type="dxa"/>
        <w:jc w:val="start"/>
        <w:tblInd w:w="0" w:type="dxa"/>
        <w:tblLayout w:type="fixed"/>
        <w:tblCellMar>
          <w:top w:w="28" w:type="dxa"/>
          <w:start w:w="28" w:type="dxa"/>
          <w:bottom w:w="28" w:type="dxa"/>
          <w:end w:w="28" w:type="dxa"/>
        </w:tblCellMar>
      </w:tblPr>
      <w:tblGrid>
        <w:gridCol w:w="2042"/>
        <w:gridCol w:w="1076"/>
        <w:gridCol w:w="1076"/>
        <w:gridCol w:w="1082"/>
      </w:tblGrid>
      <w:tr>
        <w:trPr/>
        <w:tc>
          <w:tcPr>
            <w:tcW w:w="5276" w:type="dxa"/>
            <w:gridSpan w:val="4"/>
            <w:tcBorders/>
            <w:vAlign w:val="center"/>
          </w:tcPr>
          <w:p>
            <w:pPr>
              <w:pStyle w:val="TableContents"/>
              <w:bidi w:val="0"/>
              <w:spacing w:before="0" w:after="283"/>
              <w:jc w:val="start"/>
              <w:rPr/>
            </w:pPr>
            <w:r>
              <w:rPr/>
              <w:t xml:space="preserve">TABLE 4: RESULTS OF R-CHOP 14 AND R-CHOP 21 CHEMOTHERAPY REGIMENS </w:t>
            </w:r>
            <w:r>
              <w:rPr>
                <w:position w:val="8"/>
                <w:sz w:val="19"/>
              </w:rPr>
              <w:t xml:space="preserve">3 </w:t>
            </w:r>
          </w:p>
        </w:tc>
      </w:tr>
      <w:tr>
        <w:trPr/>
        <w:tc>
          <w:tcPr>
            <w:tcW w:w="2042" w:type="dxa"/>
            <w:tcBorders/>
            <w:vAlign w:val="center"/>
          </w:tcPr>
          <w:p>
            <w:pPr>
              <w:pStyle w:val="TableContents"/>
              <w:bidi w:val="0"/>
              <w:spacing w:before="0" w:after="283"/>
              <w:jc w:val="start"/>
              <w:rPr/>
            </w:pPr>
            <w:r>
              <w:rPr/>
              <w:t xml:space="preserve">CATEGORY </w:t>
            </w:r>
          </w:p>
        </w:tc>
        <w:tc>
          <w:tcPr>
            <w:tcW w:w="1076" w:type="dxa"/>
            <w:tcBorders/>
            <w:vAlign w:val="center"/>
          </w:tcPr>
          <w:p>
            <w:pPr>
              <w:pStyle w:val="TableContents"/>
              <w:bidi w:val="0"/>
              <w:spacing w:before="0" w:after="283"/>
              <w:jc w:val="start"/>
              <w:rPr/>
            </w:pPr>
            <w:r>
              <w:rPr/>
              <w:t xml:space="preserve">R-CHOP 14 </w:t>
            </w:r>
          </w:p>
        </w:tc>
        <w:tc>
          <w:tcPr>
            <w:tcW w:w="1076" w:type="dxa"/>
            <w:tcBorders/>
            <w:vAlign w:val="center"/>
          </w:tcPr>
          <w:p>
            <w:pPr>
              <w:pStyle w:val="TableContents"/>
              <w:bidi w:val="0"/>
              <w:spacing w:before="0" w:after="283"/>
              <w:jc w:val="start"/>
              <w:rPr/>
            </w:pPr>
            <w:r>
              <w:rPr/>
              <w:t xml:space="preserve">R-CHOP 21 </w:t>
            </w:r>
          </w:p>
        </w:tc>
        <w:tc>
          <w:tcPr>
            <w:tcW w:w="1082" w:type="dxa"/>
            <w:tcBorders/>
            <w:vAlign w:val="center"/>
          </w:tcPr>
          <w:p>
            <w:pPr>
              <w:pStyle w:val="TableContents"/>
              <w:bidi w:val="0"/>
              <w:spacing w:before="0" w:after="283"/>
              <w:jc w:val="start"/>
              <w:rPr/>
            </w:pPr>
            <w:r>
              <w:rPr/>
              <w:t xml:space="preserve">P VALUE </w:t>
            </w:r>
          </w:p>
        </w:tc>
      </w:tr>
      <w:tr>
        <w:trPr/>
        <w:tc>
          <w:tcPr>
            <w:tcW w:w="2042" w:type="dxa"/>
            <w:tcBorders/>
            <w:vAlign w:val="center"/>
          </w:tcPr>
          <w:p>
            <w:pPr>
              <w:pStyle w:val="TableContents"/>
              <w:bidi w:val="0"/>
              <w:spacing w:before="0" w:after="283"/>
              <w:jc w:val="start"/>
              <w:rPr/>
            </w:pPr>
            <w:r>
              <w:rPr/>
              <w:t xml:space="preserve">2 YR Overall Survival </w:t>
            </w:r>
          </w:p>
        </w:tc>
        <w:tc>
          <w:tcPr>
            <w:tcW w:w="1076" w:type="dxa"/>
            <w:tcBorders/>
            <w:vAlign w:val="center"/>
          </w:tcPr>
          <w:p>
            <w:pPr>
              <w:pStyle w:val="TableContents"/>
              <w:bidi w:val="0"/>
              <w:spacing w:before="0" w:after="283"/>
              <w:jc w:val="start"/>
              <w:rPr/>
            </w:pPr>
            <w:r>
              <w:rPr/>
              <w:t xml:space="preserve">82. 7% </w:t>
            </w:r>
          </w:p>
        </w:tc>
        <w:tc>
          <w:tcPr>
            <w:tcW w:w="1076" w:type="dxa"/>
            <w:tcBorders/>
            <w:vAlign w:val="center"/>
          </w:tcPr>
          <w:p>
            <w:pPr>
              <w:pStyle w:val="TableContents"/>
              <w:bidi w:val="0"/>
              <w:spacing w:before="0" w:after="283"/>
              <w:jc w:val="start"/>
              <w:rPr/>
            </w:pPr>
            <w:r>
              <w:rPr/>
              <w:t xml:space="preserve">80. 8% </w:t>
            </w:r>
          </w:p>
        </w:tc>
        <w:tc>
          <w:tcPr>
            <w:tcW w:w="1082" w:type="dxa"/>
            <w:tcBorders/>
            <w:vAlign w:val="center"/>
          </w:tcPr>
          <w:p>
            <w:pPr>
              <w:pStyle w:val="TableContents"/>
              <w:bidi w:val="0"/>
              <w:spacing w:before="0" w:after="283"/>
              <w:jc w:val="start"/>
              <w:rPr/>
            </w:pPr>
            <w:r>
              <w:rPr/>
              <w:t xml:space="preserve">P = 0. 3763 </w:t>
            </w:r>
          </w:p>
        </w:tc>
      </w:tr>
      <w:tr>
        <w:trPr/>
        <w:tc>
          <w:tcPr>
            <w:tcW w:w="2042" w:type="dxa"/>
            <w:tcBorders/>
            <w:vAlign w:val="center"/>
          </w:tcPr>
          <w:p>
            <w:pPr>
              <w:pStyle w:val="TableContents"/>
              <w:bidi w:val="0"/>
              <w:spacing w:before="0" w:after="283"/>
              <w:jc w:val="start"/>
              <w:rPr/>
            </w:pPr>
            <w:r>
              <w:rPr/>
              <w:t xml:space="preserve">2 YR Progression Free survival </w:t>
            </w:r>
          </w:p>
        </w:tc>
        <w:tc>
          <w:tcPr>
            <w:tcW w:w="1076" w:type="dxa"/>
            <w:tcBorders/>
            <w:vAlign w:val="center"/>
          </w:tcPr>
          <w:p>
            <w:pPr>
              <w:pStyle w:val="TableContents"/>
              <w:bidi w:val="0"/>
              <w:spacing w:before="0" w:after="283"/>
              <w:jc w:val="start"/>
              <w:rPr/>
            </w:pPr>
            <w:r>
              <w:rPr/>
              <w:t xml:space="preserve">75. 4% </w:t>
            </w:r>
          </w:p>
        </w:tc>
        <w:tc>
          <w:tcPr>
            <w:tcW w:w="1076" w:type="dxa"/>
            <w:tcBorders/>
            <w:vAlign w:val="center"/>
          </w:tcPr>
          <w:p>
            <w:pPr>
              <w:pStyle w:val="TableContents"/>
              <w:bidi w:val="0"/>
              <w:spacing w:before="0" w:after="283"/>
              <w:jc w:val="start"/>
              <w:rPr/>
            </w:pPr>
            <w:r>
              <w:rPr/>
              <w:t xml:space="preserve">74. 8% </w:t>
            </w:r>
          </w:p>
        </w:tc>
        <w:tc>
          <w:tcPr>
            <w:tcW w:w="1082" w:type="dxa"/>
            <w:tcBorders/>
            <w:vAlign w:val="center"/>
          </w:tcPr>
          <w:p>
            <w:pPr>
              <w:pStyle w:val="TableContents"/>
              <w:bidi w:val="0"/>
              <w:spacing w:before="0" w:after="283"/>
              <w:jc w:val="start"/>
              <w:rPr/>
            </w:pPr>
            <w:r>
              <w:rPr/>
              <w:t xml:space="preserve">P = 0. 5907 </w:t>
            </w:r>
          </w:p>
        </w:tc>
      </w:tr>
      <w:tr>
        <w:trPr/>
        <w:tc>
          <w:tcPr>
            <w:tcW w:w="2042" w:type="dxa"/>
            <w:tcBorders/>
            <w:vAlign w:val="center"/>
          </w:tcPr>
          <w:p>
            <w:pPr>
              <w:pStyle w:val="TableContents"/>
              <w:bidi w:val="0"/>
              <w:spacing w:before="0" w:after="283"/>
              <w:jc w:val="start"/>
              <w:rPr/>
            </w:pPr>
            <w:r>
              <w:rPr/>
              <w:t xml:space="preserve">Grade 3 or 4 neutropenia </w:t>
            </w:r>
          </w:p>
        </w:tc>
        <w:tc>
          <w:tcPr>
            <w:tcW w:w="1076" w:type="dxa"/>
            <w:tcBorders/>
            <w:vAlign w:val="center"/>
          </w:tcPr>
          <w:p>
            <w:pPr>
              <w:pStyle w:val="TableContents"/>
              <w:bidi w:val="0"/>
              <w:spacing w:before="0" w:after="283"/>
              <w:jc w:val="start"/>
              <w:rPr/>
            </w:pPr>
            <w:r>
              <w:rPr/>
              <w:t xml:space="preserve">31% </w:t>
            </w:r>
          </w:p>
        </w:tc>
        <w:tc>
          <w:tcPr>
            <w:tcW w:w="1076" w:type="dxa"/>
            <w:tcBorders/>
            <w:vAlign w:val="center"/>
          </w:tcPr>
          <w:p>
            <w:pPr>
              <w:pStyle w:val="TableContents"/>
              <w:bidi w:val="0"/>
              <w:spacing w:before="0" w:after="283"/>
              <w:jc w:val="start"/>
              <w:rPr/>
            </w:pPr>
            <w:r>
              <w:rPr/>
              <w:t xml:space="preserve">60% </w:t>
            </w:r>
          </w:p>
        </w:tc>
        <w:tc>
          <w:tcPr>
            <w:tcW w:w="1082" w:type="dxa"/>
            <w:tcBorders/>
            <w:vAlign w:val="center"/>
          </w:tcPr>
          <w:p>
            <w:pPr>
              <w:pStyle w:val="TableContents"/>
              <w:bidi w:val="0"/>
              <w:spacing w:before="0" w:after="283"/>
              <w:jc w:val="start"/>
              <w:rPr/>
            </w:pPr>
            <w:r>
              <w:rPr/>
              <w:t xml:space="preserve">P = &lt; 0. 0001 </w:t>
            </w:r>
          </w:p>
        </w:tc>
      </w:tr>
      <w:tr>
        <w:trPr/>
        <w:tc>
          <w:tcPr>
            <w:tcW w:w="2042" w:type="dxa"/>
            <w:tcBorders/>
            <w:vAlign w:val="center"/>
          </w:tcPr>
          <w:p>
            <w:pPr>
              <w:pStyle w:val="TableContents"/>
              <w:bidi w:val="0"/>
              <w:spacing w:before="0" w:after="283"/>
              <w:jc w:val="start"/>
              <w:rPr/>
            </w:pPr>
            <w:r>
              <w:rPr/>
              <w:t xml:space="preserve">Grade 3 or 4 thrombocytopenia </w:t>
            </w:r>
          </w:p>
        </w:tc>
        <w:tc>
          <w:tcPr>
            <w:tcW w:w="1076" w:type="dxa"/>
            <w:tcBorders/>
            <w:vAlign w:val="center"/>
          </w:tcPr>
          <w:p>
            <w:pPr>
              <w:pStyle w:val="TableContents"/>
              <w:bidi w:val="0"/>
              <w:spacing w:before="0" w:after="283"/>
              <w:jc w:val="start"/>
              <w:rPr/>
            </w:pPr>
            <w:r>
              <w:rPr/>
              <w:t xml:space="preserve">9% </w:t>
            </w:r>
          </w:p>
        </w:tc>
        <w:tc>
          <w:tcPr>
            <w:tcW w:w="1076" w:type="dxa"/>
            <w:tcBorders/>
            <w:vAlign w:val="center"/>
          </w:tcPr>
          <w:p>
            <w:pPr>
              <w:pStyle w:val="TableContents"/>
              <w:bidi w:val="0"/>
              <w:spacing w:before="0" w:after="283"/>
              <w:jc w:val="start"/>
              <w:rPr/>
            </w:pPr>
            <w:r>
              <w:rPr/>
              <w:t xml:space="preserve">5% </w:t>
            </w:r>
          </w:p>
        </w:tc>
        <w:tc>
          <w:tcPr>
            <w:tcW w:w="1082" w:type="dxa"/>
            <w:tcBorders/>
            <w:vAlign w:val="center"/>
          </w:tcPr>
          <w:p>
            <w:pPr>
              <w:pStyle w:val="TableContents"/>
              <w:bidi w:val="0"/>
              <w:spacing w:before="0" w:after="283"/>
              <w:jc w:val="start"/>
              <w:rPr/>
            </w:pPr>
            <w:r>
              <w:rPr/>
              <w:t xml:space="preserve">P = 0. 01 </w:t>
            </w:r>
          </w:p>
        </w:tc>
      </w:tr>
      <w:tr>
        <w:trPr/>
        <w:tc>
          <w:tcPr>
            <w:tcW w:w="2042" w:type="dxa"/>
            <w:tcBorders/>
            <w:vAlign w:val="center"/>
          </w:tcPr>
          <w:p>
            <w:pPr>
              <w:pStyle w:val="TableContents"/>
              <w:bidi w:val="0"/>
              <w:spacing w:before="0" w:after="283"/>
              <w:jc w:val="start"/>
              <w:rPr/>
            </w:pPr>
            <w:r>
              <w:rPr/>
              <w:t xml:space="preserve">Febrile neutropenia </w:t>
            </w:r>
          </w:p>
        </w:tc>
        <w:tc>
          <w:tcPr>
            <w:tcW w:w="1076" w:type="dxa"/>
            <w:tcBorders/>
            <w:vAlign w:val="center"/>
          </w:tcPr>
          <w:p>
            <w:pPr>
              <w:pStyle w:val="TableContents"/>
              <w:bidi w:val="0"/>
              <w:spacing w:before="0" w:after="283"/>
              <w:jc w:val="start"/>
              <w:rPr/>
            </w:pPr>
            <w:r>
              <w:rPr/>
              <w:t xml:space="preserve">11% </w:t>
            </w:r>
          </w:p>
        </w:tc>
        <w:tc>
          <w:tcPr>
            <w:tcW w:w="1076" w:type="dxa"/>
            <w:tcBorders/>
            <w:vAlign w:val="center"/>
          </w:tcPr>
          <w:p>
            <w:pPr>
              <w:pStyle w:val="TableContents"/>
              <w:bidi w:val="0"/>
              <w:spacing w:before="0" w:after="283"/>
              <w:jc w:val="start"/>
              <w:rPr/>
            </w:pPr>
            <w:r>
              <w:rPr/>
              <w:t xml:space="preserve">5% </w:t>
            </w:r>
          </w:p>
        </w:tc>
        <w:tc>
          <w:tcPr>
            <w:tcW w:w="1082" w:type="dxa"/>
            <w:tcBorders/>
            <w:vAlign w:val="center"/>
          </w:tcPr>
          <w:p>
            <w:pPr>
              <w:pStyle w:val="TableContents"/>
              <w:bidi w:val="0"/>
              <w:spacing w:before="0" w:after="283"/>
              <w:jc w:val="start"/>
              <w:rPr/>
            </w:pPr>
            <w:r>
              <w:rPr/>
              <w:t xml:space="preserve">P = 0. 0007 </w:t>
            </w:r>
          </w:p>
        </w:tc>
      </w:tr>
      <w:tr>
        <w:trPr/>
        <w:tc>
          <w:tcPr>
            <w:tcW w:w="2042" w:type="dxa"/>
            <w:tcBorders/>
            <w:vAlign w:val="center"/>
          </w:tcPr>
          <w:p>
            <w:pPr>
              <w:pStyle w:val="TableContents"/>
              <w:bidi w:val="0"/>
              <w:spacing w:before="0" w:after="283"/>
              <w:jc w:val="start"/>
              <w:rPr/>
            </w:pPr>
            <w:r>
              <w:rPr/>
              <w:t xml:space="preserve">Infection </w:t>
            </w:r>
          </w:p>
        </w:tc>
        <w:tc>
          <w:tcPr>
            <w:tcW w:w="1076" w:type="dxa"/>
            <w:tcBorders/>
            <w:vAlign w:val="center"/>
          </w:tcPr>
          <w:p>
            <w:pPr>
              <w:pStyle w:val="TableContents"/>
              <w:bidi w:val="0"/>
              <w:spacing w:before="0" w:after="283"/>
              <w:jc w:val="start"/>
              <w:rPr/>
            </w:pPr>
            <w:r>
              <w:rPr/>
              <w:t xml:space="preserve">23% </w:t>
            </w:r>
          </w:p>
        </w:tc>
        <w:tc>
          <w:tcPr>
            <w:tcW w:w="1076" w:type="dxa"/>
            <w:tcBorders/>
            <w:vAlign w:val="center"/>
          </w:tcPr>
          <w:p>
            <w:pPr>
              <w:pStyle w:val="TableContents"/>
              <w:bidi w:val="0"/>
              <w:spacing w:before="0" w:after="283"/>
              <w:jc w:val="start"/>
              <w:rPr/>
            </w:pPr>
            <w:r>
              <w:rPr/>
              <w:t xml:space="preserve">18% </w:t>
            </w:r>
          </w:p>
        </w:tc>
        <w:tc>
          <w:tcPr>
            <w:tcW w:w="1082" w:type="dxa"/>
            <w:tcBorders/>
            <w:vAlign w:val="center"/>
          </w:tcPr>
          <w:p>
            <w:pPr>
              <w:pStyle w:val="TableContents"/>
              <w:bidi w:val="0"/>
              <w:spacing w:before="0" w:after="283"/>
              <w:jc w:val="start"/>
              <w:rPr/>
            </w:pPr>
            <w:r>
              <w:rPr/>
              <w:t xml:space="preserve">N/A </w:t>
            </w:r>
          </w:p>
        </w:tc>
      </w:tr>
    </w:tbl>
    <w:p>
      <w:pPr>
        <w:pStyle w:val="TextBody"/>
        <w:bidi w:val="0"/>
        <w:spacing w:before="0" w:after="283"/>
        <w:jc w:val="start"/>
        <w:rPr/>
      </w:pPr>
      <w:r>
        <w:rPr/>
        <w:t xml:space="preserve">Conclusion: RCHOP 14 is not deemed to be superior to R-CHOP 21. Therefore, R-CHOP 21 remains first-line treatment option for recently diagnosed DLBCL patients.³ </w:t>
      </w:r>
    </w:p>
    <w:p>
      <w:pPr>
        <w:pStyle w:val="TextBody"/>
        <w:bidi w:val="0"/>
        <w:spacing w:before="0" w:after="283"/>
        <w:jc w:val="start"/>
        <w:rPr/>
      </w:pPr>
      <w:r>
        <w:rPr/>
        <w:t xml:space="preserve">Odejide O et al. </w:t>
      </w:r>
    </w:p>
    <w:p>
      <w:pPr>
        <w:pStyle w:val="TextBody"/>
        <w:bidi w:val="0"/>
        <w:spacing w:before="0" w:after="283"/>
        <w:jc w:val="start"/>
        <w:rPr/>
      </w:pPr>
      <w:r>
        <w:rPr/>
        <w:t xml:space="preserve">Purpose: In a cohort of at least 66 years old patients, this study focused on the two most common treatment strategies (abbreviated R-CHOP of 3-4 cycles + radiation or full course R-CHOP of 6-8 cycle). </w:t>
      </w:r>
    </w:p>
    <w:p>
      <w:pPr>
        <w:pStyle w:val="TextBody"/>
        <w:bidi w:val="0"/>
        <w:spacing w:before="0" w:after="283"/>
        <w:jc w:val="start"/>
        <w:rPr/>
      </w:pPr>
      <w:r>
        <w:rPr/>
        <w:t xml:space="preserve">Study Design: This is a comparative effectiveness study that used registry and claims data in the United States. </w:t>
      </w:r>
    </w:p>
    <w:p>
      <w:pPr>
        <w:pStyle w:val="TextBody"/>
        <w:bidi w:val="0"/>
        <w:spacing w:before="0" w:after="283"/>
        <w:jc w:val="start"/>
        <w:rPr/>
      </w:pPr>
      <w:r>
        <w:rPr/>
        <w:t xml:space="preserve">Methods: The original cohort included 4, 322 patients that were selected from the National Cancer Institute SEER registry (1999-2009) linked to Medicare claims data (1999-2010). The study also used Lymphoma CRIS as another source of data. The final cohort consisted of 874 patients with 359 patients (41%) receiving 3-4 cycles of R-CHOP + radiation therapy (XRT) and 515 patients (59%) receiving 6-8 cycles of R-CHOP. The median age was 74 years old and the median follow-up was 4. 2 years. The primary endpoint that was studied was overall survival in patients and the secondary endpoints include: time to second-line treatment and adverse effects listed in table five. </w:t>
      </w:r>
    </w:p>
    <w:p>
      <w:pPr>
        <w:pStyle w:val="TextBody"/>
        <w:bidi w:val="0"/>
        <w:spacing w:before="0" w:after="283"/>
        <w:jc w:val="start"/>
        <w:rPr/>
      </w:pPr>
      <w:r>
        <w:rPr/>
        <w:t xml:space="preserve">Inclusion Criteria </w:t>
      </w:r>
    </w:p>
    <w:p>
      <w:pPr>
        <w:pStyle w:val="TextBody"/>
        <w:bidi w:val="0"/>
        <w:spacing w:before="0" w:after="283"/>
        <w:jc w:val="start"/>
        <w:rPr/>
      </w:pPr>
      <w:r>
        <w:rPr/>
        <w:t xml:space="preserve">Diagnosed stage 1 or stage 2 diffuse large B-cell lymphoma and at least 66 years old </w:t>
      </w:r>
    </w:p>
    <w:p>
      <w:pPr>
        <w:pStyle w:val="TextBody"/>
        <w:bidi w:val="0"/>
        <w:spacing w:before="0" w:after="283"/>
        <w:jc w:val="start"/>
        <w:rPr/>
      </w:pPr>
      <w:r>
        <w:rPr/>
        <w:t xml:space="preserve">Continuous enrolled in Medicare Part A and Part B with no HMO coverage </w:t>
      </w:r>
    </w:p>
    <w:p>
      <w:pPr>
        <w:pStyle w:val="TextBody"/>
        <w:bidi w:val="0"/>
        <w:spacing w:before="0" w:after="283"/>
        <w:jc w:val="start"/>
        <w:rPr/>
      </w:pPr>
      <w:r>
        <w:rPr/>
        <w:t xml:space="preserve">Survived at least 6 months following diagnosis of lymphoma </w:t>
      </w:r>
    </w:p>
    <w:p>
      <w:pPr>
        <w:pStyle w:val="TextBody"/>
        <w:bidi w:val="0"/>
        <w:spacing w:before="0" w:after="283"/>
        <w:jc w:val="start"/>
        <w:rPr/>
      </w:pPr>
      <w:r>
        <w:rPr/>
        <w:t xml:space="preserve">No diagnosed ESRD or disability </w:t>
      </w:r>
    </w:p>
    <w:p>
      <w:pPr>
        <w:pStyle w:val="TextBody"/>
        <w:bidi w:val="0"/>
        <w:spacing w:before="0" w:after="283"/>
        <w:jc w:val="start"/>
        <w:rPr/>
      </w:pPr>
      <w:r>
        <w:rPr/>
        <w:t xml:space="preserve">Exclusion Criteria </w:t>
      </w:r>
    </w:p>
    <w:p>
      <w:pPr>
        <w:pStyle w:val="TextBody"/>
        <w:bidi w:val="0"/>
        <w:spacing w:before="0" w:after="283"/>
        <w:jc w:val="start"/>
        <w:rPr/>
      </w:pPr>
      <w:r>
        <w:rPr/>
        <w:t xml:space="preserve">Patients who received radiation therapy before chemotherapy </w:t>
      </w:r>
    </w:p>
    <w:p>
      <w:pPr>
        <w:pStyle w:val="TextBody"/>
        <w:bidi w:val="0"/>
        <w:spacing w:before="0" w:after="283"/>
        <w:jc w:val="start"/>
        <w:rPr/>
      </w:pPr>
      <w:r>
        <w:rPr/>
        <w:t xml:space="preserve">Bulky stage 2 disease lymphoma </w:t>
      </w:r>
    </w:p>
    <w:p>
      <w:pPr>
        <w:pStyle w:val="TextBody"/>
        <w:bidi w:val="0"/>
        <w:spacing w:before="0" w:after="283"/>
        <w:jc w:val="start"/>
        <w:rPr/>
      </w:pPr>
      <w:r>
        <w:rPr/>
        <w:t xml:space="preserve">Statistics: A 2 sided P &lt;0. 05 was used to determine statistical significance. The study used propensity score matching and odds ratio in the calculations. Odds ratio less than 1 indicated that there is a better outcome for patients receiving 3-4 cycles of abbreviated R-CHOP + radiation therapy instead of 6-8 cycles of standard R-CHOP alone. </w:t>
      </w:r>
    </w:p>
    <w:p>
      <w:pPr>
        <w:pStyle w:val="TextBody"/>
        <w:bidi w:val="0"/>
        <w:spacing w:before="0" w:after="283"/>
        <w:jc w:val="start"/>
        <w:rPr/>
      </w:pPr>
      <w:r>
        <w:rPr/>
        <w:t xml:space="preserve">Results: The 5-yr overall survival in the abbreviated R-CHOP + radiation therapy was 77% and in full course RCHOP group it was 76%. The P value = 0. 87. Table 5 contrasts adverse events in the abbreviated R-CHOP to standard course R-CHOP using adjusted propensity score and odds ratio. The odds ratio is used in the study to provide association between two groups. It represents the odds that an outcome will occur given a particular exposure compared to the odds of the outcome occurring with another exposure. In this study, odds ratio is defined:  if less than 1, then there are better outcomes for patients receiving 3-4 cycles of R-CHOP plus RT instead of standard R-CHOP. </w:t>
      </w:r>
    </w:p>
    <w:tbl>
      <w:tblPr>
        <w:tblW w:w="5276" w:type="dxa"/>
        <w:jc w:val="start"/>
        <w:tblInd w:w="0" w:type="dxa"/>
        <w:tblLayout w:type="fixed"/>
        <w:tblCellMar>
          <w:top w:w="28" w:type="dxa"/>
          <w:start w:w="28" w:type="dxa"/>
          <w:bottom w:w="28" w:type="dxa"/>
          <w:end w:w="28" w:type="dxa"/>
        </w:tblCellMar>
      </w:tblPr>
      <w:tblGrid>
        <w:gridCol w:w="1975"/>
        <w:gridCol w:w="2195"/>
        <w:gridCol w:w="1106"/>
      </w:tblGrid>
      <w:tr>
        <w:trPr/>
        <w:tc>
          <w:tcPr>
            <w:tcW w:w="5276" w:type="dxa"/>
            <w:gridSpan w:val="3"/>
            <w:tcBorders/>
            <w:vAlign w:val="center"/>
          </w:tcPr>
          <w:p>
            <w:pPr>
              <w:pStyle w:val="TableContents"/>
              <w:bidi w:val="0"/>
              <w:spacing w:before="0" w:after="283"/>
              <w:jc w:val="start"/>
              <w:rPr/>
            </w:pPr>
            <w:r>
              <w:rPr/>
              <w:t xml:space="preserve">TABLE 5: ADVERSE OUTCOMES ASSOCIATED WITH TREATMENT USING ADJUSTED PROPENSITY SCORES OF ABBREVIATED R-CHOP WITH XRT TO STANDARD R-CHOP </w:t>
            </w:r>
            <w:r>
              <w:rPr>
                <w:position w:val="8"/>
                <w:sz w:val="19"/>
              </w:rPr>
              <w:t xml:space="preserve">4 </w:t>
            </w:r>
          </w:p>
        </w:tc>
      </w:tr>
      <w:tr>
        <w:trPr/>
        <w:tc>
          <w:tcPr>
            <w:tcW w:w="1975" w:type="dxa"/>
            <w:tcBorders/>
            <w:vAlign w:val="center"/>
          </w:tcPr>
          <w:p>
            <w:pPr>
              <w:pStyle w:val="TableContents"/>
              <w:bidi w:val="0"/>
              <w:spacing w:before="0" w:after="283"/>
              <w:jc w:val="start"/>
              <w:rPr/>
            </w:pPr>
            <w:r>
              <w:rPr/>
              <w:t xml:space="preserve">Outcomes </w:t>
            </w:r>
          </w:p>
        </w:tc>
        <w:tc>
          <w:tcPr>
            <w:tcW w:w="2195" w:type="dxa"/>
            <w:tcBorders/>
            <w:vAlign w:val="center"/>
          </w:tcPr>
          <w:p>
            <w:pPr>
              <w:pStyle w:val="TableContents"/>
              <w:bidi w:val="0"/>
              <w:spacing w:before="0" w:after="283"/>
              <w:jc w:val="start"/>
              <w:rPr/>
            </w:pPr>
            <w:r>
              <w:rPr/>
              <w:t xml:space="preserve">Odds Ratio (Abbreviated to Standard) </w:t>
            </w:r>
          </w:p>
        </w:tc>
        <w:tc>
          <w:tcPr>
            <w:tcW w:w="1106" w:type="dxa"/>
            <w:tcBorders/>
            <w:vAlign w:val="center"/>
          </w:tcPr>
          <w:p>
            <w:pPr>
              <w:pStyle w:val="TableContents"/>
              <w:bidi w:val="0"/>
              <w:spacing w:before="0" w:after="283"/>
              <w:jc w:val="start"/>
              <w:rPr/>
            </w:pPr>
            <w:r>
              <w:rPr/>
              <w:t xml:space="preserve">P-Value </w:t>
            </w:r>
          </w:p>
        </w:tc>
      </w:tr>
      <w:tr>
        <w:trPr/>
        <w:tc>
          <w:tcPr>
            <w:tcW w:w="1975" w:type="dxa"/>
            <w:tcBorders/>
            <w:vAlign w:val="center"/>
          </w:tcPr>
          <w:p>
            <w:pPr>
              <w:pStyle w:val="TableContents"/>
              <w:bidi w:val="0"/>
              <w:spacing w:before="0" w:after="283"/>
              <w:jc w:val="start"/>
              <w:rPr/>
            </w:pPr>
            <w:r>
              <w:rPr/>
              <w:t xml:space="preserve">Hospitalization </w:t>
            </w:r>
          </w:p>
        </w:tc>
        <w:tc>
          <w:tcPr>
            <w:tcW w:w="2195" w:type="dxa"/>
            <w:tcBorders/>
            <w:vAlign w:val="center"/>
          </w:tcPr>
          <w:p>
            <w:pPr>
              <w:pStyle w:val="TableContents"/>
              <w:bidi w:val="0"/>
              <w:spacing w:before="0" w:after="283"/>
              <w:jc w:val="start"/>
              <w:rPr/>
            </w:pPr>
            <w:r>
              <w:rPr/>
              <w:t xml:space="preserve">0. 83 </w:t>
            </w:r>
          </w:p>
        </w:tc>
        <w:tc>
          <w:tcPr>
            <w:tcW w:w="1106" w:type="dxa"/>
            <w:tcBorders/>
            <w:vAlign w:val="center"/>
          </w:tcPr>
          <w:p>
            <w:pPr>
              <w:pStyle w:val="TableContents"/>
              <w:bidi w:val="0"/>
              <w:spacing w:before="0" w:after="283"/>
              <w:jc w:val="start"/>
              <w:rPr/>
            </w:pPr>
            <w:r>
              <w:rPr/>
              <w:t xml:space="preserve">0. 17 </w:t>
            </w:r>
          </w:p>
        </w:tc>
      </w:tr>
      <w:tr>
        <w:trPr/>
        <w:tc>
          <w:tcPr>
            <w:tcW w:w="1975" w:type="dxa"/>
            <w:tcBorders/>
            <w:vAlign w:val="center"/>
          </w:tcPr>
          <w:p>
            <w:pPr>
              <w:pStyle w:val="TableContents"/>
              <w:bidi w:val="0"/>
              <w:spacing w:before="0" w:after="283"/>
              <w:jc w:val="start"/>
              <w:rPr/>
            </w:pPr>
            <w:r>
              <w:rPr/>
              <w:t xml:space="preserve">Fever </w:t>
            </w:r>
          </w:p>
        </w:tc>
        <w:tc>
          <w:tcPr>
            <w:tcW w:w="2195" w:type="dxa"/>
            <w:tcBorders/>
            <w:vAlign w:val="center"/>
          </w:tcPr>
          <w:p>
            <w:pPr>
              <w:pStyle w:val="TableContents"/>
              <w:bidi w:val="0"/>
              <w:spacing w:before="0" w:after="283"/>
              <w:jc w:val="start"/>
              <w:rPr/>
            </w:pPr>
            <w:r>
              <w:rPr/>
              <w:t xml:space="preserve">0. 6 </w:t>
            </w:r>
          </w:p>
        </w:tc>
        <w:tc>
          <w:tcPr>
            <w:tcW w:w="1106" w:type="dxa"/>
            <w:tcBorders/>
            <w:vAlign w:val="center"/>
          </w:tcPr>
          <w:p>
            <w:pPr>
              <w:pStyle w:val="TableContents"/>
              <w:bidi w:val="0"/>
              <w:spacing w:before="0" w:after="283"/>
              <w:jc w:val="start"/>
              <w:rPr/>
            </w:pPr>
            <w:r>
              <w:rPr/>
              <w:t xml:space="preserve">0. 002 </w:t>
            </w:r>
          </w:p>
        </w:tc>
      </w:tr>
      <w:tr>
        <w:trPr/>
        <w:tc>
          <w:tcPr>
            <w:tcW w:w="1975" w:type="dxa"/>
            <w:tcBorders/>
            <w:vAlign w:val="center"/>
          </w:tcPr>
          <w:p>
            <w:pPr>
              <w:pStyle w:val="TableContents"/>
              <w:bidi w:val="0"/>
              <w:spacing w:before="0" w:after="283"/>
              <w:jc w:val="start"/>
              <w:rPr/>
            </w:pPr>
            <w:r>
              <w:rPr/>
              <w:t xml:space="preserve">Neutropenia </w:t>
            </w:r>
          </w:p>
        </w:tc>
        <w:tc>
          <w:tcPr>
            <w:tcW w:w="2195" w:type="dxa"/>
            <w:tcBorders/>
            <w:vAlign w:val="center"/>
          </w:tcPr>
          <w:p>
            <w:pPr>
              <w:pStyle w:val="TableContents"/>
              <w:bidi w:val="0"/>
              <w:spacing w:before="0" w:after="283"/>
              <w:jc w:val="start"/>
              <w:rPr/>
            </w:pPr>
            <w:r>
              <w:rPr/>
              <w:t xml:space="preserve">0. 63 </w:t>
            </w:r>
          </w:p>
        </w:tc>
        <w:tc>
          <w:tcPr>
            <w:tcW w:w="1106" w:type="dxa"/>
            <w:tcBorders/>
            <w:vAlign w:val="center"/>
          </w:tcPr>
          <w:p>
            <w:pPr>
              <w:pStyle w:val="TableContents"/>
              <w:bidi w:val="0"/>
              <w:spacing w:before="0" w:after="283"/>
              <w:jc w:val="start"/>
              <w:rPr/>
            </w:pPr>
            <w:r>
              <w:rPr/>
              <w:t xml:space="preserve">0. 002 </w:t>
            </w:r>
          </w:p>
        </w:tc>
      </w:tr>
      <w:tr>
        <w:trPr/>
        <w:tc>
          <w:tcPr>
            <w:tcW w:w="1975" w:type="dxa"/>
            <w:tcBorders/>
            <w:vAlign w:val="center"/>
          </w:tcPr>
          <w:p>
            <w:pPr>
              <w:pStyle w:val="TableContents"/>
              <w:bidi w:val="0"/>
              <w:spacing w:before="0" w:after="283"/>
              <w:jc w:val="start"/>
              <w:rPr/>
            </w:pPr>
            <w:r>
              <w:rPr/>
              <w:t xml:space="preserve">Fever + Neutropenia </w:t>
            </w:r>
          </w:p>
        </w:tc>
        <w:tc>
          <w:tcPr>
            <w:tcW w:w="2195" w:type="dxa"/>
            <w:tcBorders/>
            <w:vAlign w:val="center"/>
          </w:tcPr>
          <w:p>
            <w:pPr>
              <w:pStyle w:val="TableContents"/>
              <w:bidi w:val="0"/>
              <w:spacing w:before="0" w:after="283"/>
              <w:jc w:val="start"/>
              <w:rPr/>
            </w:pPr>
            <w:r>
              <w:rPr/>
              <w:t xml:space="preserve">0. 27 </w:t>
            </w:r>
          </w:p>
        </w:tc>
        <w:tc>
          <w:tcPr>
            <w:tcW w:w="1106" w:type="dxa"/>
            <w:tcBorders/>
            <w:vAlign w:val="center"/>
          </w:tcPr>
          <w:p>
            <w:pPr>
              <w:pStyle w:val="TableContents"/>
              <w:bidi w:val="0"/>
              <w:spacing w:before="0" w:after="283"/>
              <w:jc w:val="start"/>
              <w:rPr/>
            </w:pPr>
            <w:r>
              <w:rPr/>
              <w:t xml:space="preserve">&lt; 0. 001 </w:t>
            </w:r>
          </w:p>
        </w:tc>
      </w:tr>
      <w:tr>
        <w:trPr/>
        <w:tc>
          <w:tcPr>
            <w:tcW w:w="1975" w:type="dxa"/>
            <w:tcBorders/>
            <w:vAlign w:val="center"/>
          </w:tcPr>
          <w:p>
            <w:pPr>
              <w:pStyle w:val="TableContents"/>
              <w:bidi w:val="0"/>
              <w:spacing w:before="0" w:after="283"/>
              <w:jc w:val="start"/>
              <w:rPr/>
            </w:pPr>
            <w:r>
              <w:rPr/>
              <w:t xml:space="preserve">Infections </w:t>
            </w:r>
          </w:p>
        </w:tc>
        <w:tc>
          <w:tcPr>
            <w:tcW w:w="2195" w:type="dxa"/>
            <w:tcBorders/>
            <w:vAlign w:val="center"/>
          </w:tcPr>
          <w:p>
            <w:pPr>
              <w:pStyle w:val="TableContents"/>
              <w:bidi w:val="0"/>
              <w:spacing w:before="0" w:after="283"/>
              <w:jc w:val="start"/>
              <w:rPr/>
            </w:pPr>
            <w:r>
              <w:rPr/>
              <w:t xml:space="preserve">0. 98 </w:t>
            </w:r>
          </w:p>
        </w:tc>
        <w:tc>
          <w:tcPr>
            <w:tcW w:w="1106" w:type="dxa"/>
            <w:tcBorders/>
            <w:vAlign w:val="center"/>
          </w:tcPr>
          <w:p>
            <w:pPr>
              <w:pStyle w:val="TableContents"/>
              <w:bidi w:val="0"/>
              <w:spacing w:before="0" w:after="283"/>
              <w:jc w:val="start"/>
              <w:rPr/>
            </w:pPr>
            <w:r>
              <w:rPr/>
              <w:t xml:space="preserve">0. 89 </w:t>
            </w:r>
          </w:p>
        </w:tc>
      </w:tr>
      <w:tr>
        <w:trPr/>
        <w:tc>
          <w:tcPr>
            <w:tcW w:w="1975" w:type="dxa"/>
            <w:tcBorders/>
            <w:vAlign w:val="center"/>
          </w:tcPr>
          <w:p>
            <w:pPr>
              <w:pStyle w:val="TableContents"/>
              <w:bidi w:val="0"/>
              <w:spacing w:before="0" w:after="283"/>
              <w:jc w:val="start"/>
              <w:rPr/>
            </w:pPr>
            <w:r>
              <w:rPr/>
              <w:t xml:space="preserve">CHF </w:t>
            </w:r>
          </w:p>
        </w:tc>
        <w:tc>
          <w:tcPr>
            <w:tcW w:w="2195" w:type="dxa"/>
            <w:tcBorders/>
            <w:vAlign w:val="center"/>
          </w:tcPr>
          <w:p>
            <w:pPr>
              <w:pStyle w:val="TableContents"/>
              <w:bidi w:val="0"/>
              <w:spacing w:before="0" w:after="283"/>
              <w:jc w:val="start"/>
              <w:rPr/>
            </w:pPr>
            <w:r>
              <w:rPr/>
              <w:t xml:space="preserve">0. 98 </w:t>
            </w:r>
          </w:p>
        </w:tc>
        <w:tc>
          <w:tcPr>
            <w:tcW w:w="1106" w:type="dxa"/>
            <w:tcBorders/>
            <w:vAlign w:val="center"/>
          </w:tcPr>
          <w:p>
            <w:pPr>
              <w:pStyle w:val="TableContents"/>
              <w:bidi w:val="0"/>
              <w:spacing w:before="0" w:after="283"/>
              <w:jc w:val="start"/>
              <w:rPr/>
            </w:pPr>
            <w:r>
              <w:rPr/>
              <w:t xml:space="preserve">0. 95 </w:t>
            </w:r>
          </w:p>
        </w:tc>
      </w:tr>
      <w:tr>
        <w:trPr/>
        <w:tc>
          <w:tcPr>
            <w:tcW w:w="1975" w:type="dxa"/>
            <w:tcBorders/>
            <w:vAlign w:val="center"/>
          </w:tcPr>
          <w:p>
            <w:pPr>
              <w:pStyle w:val="TableContents"/>
              <w:bidi w:val="0"/>
              <w:spacing w:before="0" w:after="283"/>
              <w:jc w:val="start"/>
              <w:rPr/>
            </w:pPr>
            <w:r>
              <w:rPr/>
              <w:t xml:space="preserve">Poor functional status </w:t>
            </w:r>
          </w:p>
        </w:tc>
        <w:tc>
          <w:tcPr>
            <w:tcW w:w="2195" w:type="dxa"/>
            <w:tcBorders/>
            <w:vAlign w:val="center"/>
          </w:tcPr>
          <w:p>
            <w:pPr>
              <w:pStyle w:val="TableContents"/>
              <w:bidi w:val="0"/>
              <w:spacing w:before="0" w:after="283"/>
              <w:jc w:val="start"/>
              <w:rPr/>
            </w:pPr>
            <w:r>
              <w:rPr/>
              <w:t xml:space="preserve">1. 14 </w:t>
            </w:r>
          </w:p>
        </w:tc>
        <w:tc>
          <w:tcPr>
            <w:tcW w:w="1106" w:type="dxa"/>
            <w:tcBorders/>
            <w:vAlign w:val="center"/>
          </w:tcPr>
          <w:p>
            <w:pPr>
              <w:pStyle w:val="TableContents"/>
              <w:bidi w:val="0"/>
              <w:spacing w:before="0" w:after="283"/>
              <w:jc w:val="start"/>
              <w:rPr/>
            </w:pPr>
            <w:r>
              <w:rPr/>
              <w:t xml:space="preserve">0. 5 </w:t>
            </w:r>
          </w:p>
        </w:tc>
      </w:tr>
    </w:tbl>
    <w:p>
      <w:pPr>
        <w:pStyle w:val="TextBody"/>
        <w:bidi w:val="0"/>
        <w:spacing w:before="0" w:after="283"/>
        <w:jc w:val="start"/>
        <w:rPr/>
      </w:pPr>
      <w:r>
        <w:rPr/>
        <w:t xml:space="preserve">Conclusion: Abbreviated R-CHOP with radiation therapy may be better tolerated in elderly patients with limited stage DLCBL, however both treatment options ostensibly provide equivalent overall patient survival rates. </w:t>
      </w:r>
      <w:r>
        <w:rPr>
          <w:position w:val="8"/>
          <w:sz w:val="19"/>
        </w:rPr>
        <w:t xml:space="preserve">4 </w:t>
      </w:r>
    </w:p>
    <w:p>
      <w:pPr>
        <w:pStyle w:val="TextBody"/>
        <w:bidi w:val="0"/>
        <w:spacing w:before="0" w:after="283"/>
        <w:jc w:val="start"/>
        <w:rPr/>
      </w:pPr>
      <w:r>
        <w:rPr/>
        <w:t xml:space="preserve">Summary </w:t>
      </w:r>
    </w:p>
    <w:p>
      <w:pPr>
        <w:pStyle w:val="TextBody"/>
        <w:bidi w:val="0"/>
        <w:spacing w:before="0" w:after="283"/>
        <w:jc w:val="start"/>
        <w:rPr/>
      </w:pPr>
      <w:r>
        <w:rPr/>
        <w:t xml:space="preserve">These studies represent some of the important clinical trials in the treatment of Non-Hodgkin’s Lymphoma. With continued research, we can further define the optimal regimens and reduce toxicities associated with chemotherapy.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Chan, Alexandre. “ Chapter 132: Lymphomas.” </w:t>
      </w:r>
      <w:r>
        <w:rPr>
          <w:rStyle w:val="Emphasis"/>
        </w:rPr>
        <w:t xml:space="preserve">Pharmacotherapy: A Pathophysiologic Approach </w:t>
      </w:r>
      <w:r>
        <w:rPr/>
        <w:t xml:space="preserve">, edited by Jolynn Sessions, 10th ed., McGraw-Hill Education, 2017, pp. 2218–2223. </w:t>
      </w:r>
    </w:p>
    <w:p>
      <w:pPr>
        <w:pStyle w:val="TextBody"/>
        <w:numPr>
          <w:ilvl w:val="0"/>
          <w:numId w:val="2"/>
        </w:numPr>
        <w:tabs>
          <w:tab w:val="clear" w:pos="1134"/>
          <w:tab w:val="left" w:pos="709" w:leader="none"/>
        </w:tabs>
        <w:bidi w:val="0"/>
        <w:spacing w:before="0" w:after="0"/>
        <w:ind w:start="709" w:hanging="283"/>
        <w:jc w:val="start"/>
        <w:rPr/>
      </w:pPr>
      <w:r>
        <w:rPr/>
        <w:t xml:space="preserve">Recher C, Coiffier B, Haioun C, et al. Intensified chemotherapy with ACVBP plus rituximab versus standard CHOP plus rituximab for the treatment of diffuse large B-cell lymphoma (LNH03-2B): an open-label randomised phase 3 trial. Lancet 2011; 378: 1858-1867. http://www. ncbi. nlm. nih. gov/pubmed/22118442. </w:t>
      </w:r>
    </w:p>
    <w:p>
      <w:pPr>
        <w:pStyle w:val="TextBody"/>
        <w:numPr>
          <w:ilvl w:val="0"/>
          <w:numId w:val="2"/>
        </w:numPr>
        <w:tabs>
          <w:tab w:val="clear" w:pos="1134"/>
          <w:tab w:val="left" w:pos="709" w:leader="none"/>
        </w:tabs>
        <w:bidi w:val="0"/>
        <w:spacing w:before="0" w:after="0"/>
        <w:ind w:start="709" w:hanging="283"/>
        <w:jc w:val="start"/>
        <w:rPr/>
      </w:pPr>
      <w:r>
        <w:rPr/>
        <w:t xml:space="preserve">Cunningham D, Hawkes EA, Jack A, et al. Rituximab plus cyclophosphamide, doxorubicin, vincristine, and prednisolone in patients with newly diagnosed diffuse large B-cell non-Hodgkin lymphoma: a phase 3 comparison of dose intensification with 14-day versus 21-day cycles. Lancet 2013; 381: 1817-1826. http://www. ncbi. nlm. nih. gov/pubmed/23615461. </w:t>
      </w:r>
    </w:p>
    <w:p>
      <w:pPr>
        <w:pStyle w:val="TextBody"/>
        <w:numPr>
          <w:ilvl w:val="0"/>
          <w:numId w:val="2"/>
        </w:numPr>
        <w:tabs>
          <w:tab w:val="clear" w:pos="1134"/>
          <w:tab w:val="left" w:pos="709" w:leader="none"/>
        </w:tabs>
        <w:bidi w:val="0"/>
        <w:spacing w:before="0" w:after="283"/>
        <w:ind w:start="709" w:hanging="283"/>
        <w:jc w:val="start"/>
        <w:rPr/>
      </w:pPr>
      <w:r>
        <w:rPr/>
        <w:t xml:space="preserve">Odejide OO, Cronin AM, Davidoff AJ, et al. Limited stage diffuse large B-cell lymphoma: comparative effectiveness of treatment strategies in a large cohort of elderly patients. Leuk Lymphoma 2015; 56: 716-724. http://www. ncbi. nlm. nih. gov/pubmed/24913508.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https://assignbuster.com/studies-on-non-hodgkins-lymphoma/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on non-hodgkin’s lymphoma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on-non-hodgkins-lymph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on non-hodgkin’s lymphoma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non-hodgkin’s lymphoma</dc:title>
  <dc:subject>Others;</dc:subject>
  <dc:creator>AssignBuster</dc:creator>
  <cp:keywords/>
  <dc:description>In the year 2018, Non-Hodgkin's lymphoma is the more predominant subtype lymphoma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