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Oral health status of pregnant and non pregnant women</w:t>
        </w:r>
      </w:hyperlink>
      <w:bookmarkEnd w:id="0"/>
    </w:p>
    <w:p>
      <w:r>
        <w:br w:type="page"/>
      </w:r>
    </w:p>
    <w:p>
      <w:pPr>
        <w:pStyle w:val="TextBody"/>
        <w:bidi w:val="0"/>
        <w:jc w:val="start"/>
        <w:rPr>
          <w:u w:val="single"/>
        </w:rPr>
      </w:pPr>
      <w:r>
        <w:rPr>
          <w:u w:val="single"/>
        </w:rPr>
        <w:t xml:space="preserve">“ </w:t>
      </w:r>
      <w:r>
        <w:rPr>
          <w:u w:val="single"/>
        </w:rPr>
        <w:t xml:space="preserve">ORAL HEALTH STATUS AMONG PREGNANT AND NONPREGNANT WOMEN OF AGRA CITY – A HOSPITAL BASED STUDY” </w:t>
      </w:r>
    </w:p>
    <w:p>
      <w:pPr>
        <w:pStyle w:val="TextBody"/>
        <w:bidi w:val="0"/>
        <w:jc w:val="start"/>
        <w:rPr>
          <w:u w:val="single"/>
        </w:rPr>
      </w:pPr>
      <w:r>
        <w:rPr>
          <w:u w:val="single"/>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Pregnancy is often thought to be a time of happiness for the expectant mothers but it does not only influence her own oral health status but also may increase her risk of other diseases. </w:t>
      </w:r>
    </w:p>
    <w:p>
      <w:pPr>
        <w:pStyle w:val="TextBody"/>
        <w:bidi w:val="0"/>
        <w:spacing w:before="0" w:after="283"/>
        <w:jc w:val="start"/>
        <w:rPr/>
      </w:pPr>
      <w:r>
        <w:rPr/>
        <w:t xml:space="preserve">OBJECTIVE </w:t>
      </w:r>
    </w:p>
    <w:p>
      <w:pPr>
        <w:pStyle w:val="TextBody"/>
        <w:bidi w:val="0"/>
        <w:spacing w:before="0" w:after="283"/>
        <w:jc w:val="start"/>
        <w:rPr/>
      </w:pPr>
      <w:r>
        <w:rPr/>
        <w:t xml:space="preserve">To compare the oral health status among pregnant and nonpregnant women of Agra city. </w:t>
      </w:r>
    </w:p>
    <w:p>
      <w:pPr>
        <w:pStyle w:val="TextBody"/>
        <w:bidi w:val="0"/>
        <w:spacing w:before="0" w:after="283"/>
        <w:jc w:val="start"/>
        <w:rPr/>
      </w:pPr>
      <w:r>
        <w:rPr/>
        <w:t xml:space="preserve">MATRIALS AND METHOD </w:t>
      </w:r>
    </w:p>
    <w:p>
      <w:pPr>
        <w:pStyle w:val="TextBody"/>
        <w:bidi w:val="0"/>
        <w:spacing w:before="0" w:after="283"/>
        <w:jc w:val="start"/>
        <w:rPr/>
      </w:pPr>
      <w:r>
        <w:rPr/>
        <w:t xml:space="preserve">A cross sectional study was carried out among 425 pregnant and 425 nonpregnant women of 18-45 years attending the hospital. A pretested proforma designed in local language for collecting all the relevant information was used which included questions regarding personal information, oral hygiene practices, frequency of dental visits, education, occupation, gravid status along with a self-reported oral health status questions. The investigator was calibrated before the start of the study in order to limit the intra-examiner variability. </w:t>
      </w:r>
    </w:p>
    <w:p>
      <w:pPr>
        <w:pStyle w:val="TextBody"/>
        <w:bidi w:val="0"/>
        <w:spacing w:before="0" w:after="283"/>
        <w:jc w:val="start"/>
        <w:rPr/>
      </w:pPr>
      <w:r>
        <w:rPr/>
        <w:t xml:space="preserve">RESULTS </w:t>
      </w:r>
    </w:p>
    <w:p>
      <w:pPr>
        <w:pStyle w:val="TextBody"/>
        <w:bidi w:val="0"/>
        <w:spacing w:before="0" w:after="283"/>
        <w:jc w:val="start"/>
        <w:rPr/>
      </w:pPr>
      <w:r>
        <w:rPr/>
        <w:t xml:space="preserve">A total of 850 subjects with a mean age of 29. 30±3. 30 years were examined. The mean DMFT was found to be 3. 02±1. 79 and 1. 79±1. 90 in pregnant and nonpregnant respectively.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results of this study showed that pregnancy had effect on the gingiva and on periodontal attachment levels. Overall oral health was poorer among pregnant women than nonpregnant women. </w:t>
      </w:r>
    </w:p>
    <w:p>
      <w:pPr>
        <w:pStyle w:val="TextBody"/>
        <w:bidi w:val="0"/>
        <w:spacing w:before="0" w:after="283"/>
        <w:jc w:val="start"/>
        <w:rPr/>
      </w:pPr>
      <w:r>
        <w:rPr/>
        <w:t xml:space="preserve">KEY WORDS </w:t>
      </w:r>
    </w:p>
    <w:p>
      <w:pPr>
        <w:pStyle w:val="TextBody"/>
        <w:bidi w:val="0"/>
        <w:spacing w:before="0" w:after="283"/>
        <w:jc w:val="start"/>
        <w:rPr/>
      </w:pPr>
      <w:r>
        <w:rPr/>
        <w:t xml:space="preserve">Gravid status, Oral Health Status, Oral hygiene. </w:t>
      </w:r>
    </w:p>
    <w:p>
      <w:pPr>
        <w:pStyle w:val="TextBody"/>
        <w:bidi w:val="0"/>
        <w:spacing w:before="0" w:after="283"/>
        <w:jc w:val="start"/>
        <w:rPr/>
      </w:pPr>
      <w:r>
        <w:rPr/>
        <w:t xml:space="preserve">INTRODUCTION </w:t>
      </w:r>
    </w:p>
    <w:p>
      <w:pPr>
        <w:pStyle w:val="TextBody"/>
        <w:bidi w:val="0"/>
        <w:spacing w:before="0" w:after="283"/>
        <w:jc w:val="start"/>
        <w:rPr/>
      </w:pPr>
      <w:r>
        <w:rPr/>
        <w:t xml:space="preserve">Pregnancy brings about physical, physiological and psychological changes in women. It affects almost all systems and parts of the body including the oral cavity. Due to changes in the hormones, many opportunistic organisms gain access to various parts of the body in the absence of proper care </w:t>
      </w:r>
      <w:r>
        <w:rPr>
          <w:position w:val="8"/>
          <w:sz w:val="19"/>
        </w:rPr>
        <w:t xml:space="preserve">1 </w:t>
      </w:r>
      <w:r>
        <w:rPr/>
        <w:t xml:space="preserve">. Pregnancy constitutes a special physiological state characterized by a series of temporary adaptive changes in body structure, as a result of an increased production of estrogen, progestron, gonadotropins and relaxin among other hormones. The oral cavity is also affected by such endocrine actions and may present both transient and irreversible changes as well as modifications that are considered pathological </w:t>
      </w:r>
      <w:r>
        <w:rPr>
          <w:position w:val="8"/>
          <w:sz w:val="19"/>
        </w:rPr>
        <w:t xml:space="preserve">2 </w:t>
      </w:r>
      <w:r>
        <w:rPr/>
        <w:t xml:space="preserve">. </w:t>
      </w:r>
    </w:p>
    <w:p>
      <w:pPr>
        <w:pStyle w:val="TextBody"/>
        <w:bidi w:val="0"/>
        <w:spacing w:before="0" w:after="283"/>
        <w:jc w:val="start"/>
        <w:rPr/>
      </w:pPr>
      <w:r>
        <w:rPr/>
        <w:t xml:space="preserve">Pregnancy related oral changes are most marked and frequent in gingival tissue. Gingival inflammation and pregnancy have now been linked for many years; as early as 1978, Vermeeran discussed “ toothpains” in Pregnancy. In 1818, Pitcarin described gingival hyperplasia in pregnancy </w:t>
      </w:r>
      <w:r>
        <w:rPr>
          <w:position w:val="8"/>
          <w:sz w:val="19"/>
        </w:rPr>
        <w:t xml:space="preserve">3 </w:t>
      </w:r>
      <w:r>
        <w:rPr/>
        <w:t xml:space="preserve">. Pinard first described this situation in 1877 characterized with erythema, hyperplasia and increased bleeding </w:t>
      </w:r>
      <w:r>
        <w:rPr>
          <w:position w:val="8"/>
          <w:sz w:val="19"/>
        </w:rPr>
        <w:t xml:space="preserve">4 </w:t>
      </w:r>
      <w:r>
        <w:rPr/>
        <w:t xml:space="preserve">. Women’s pregnancy experience not only influences her own oral health status but also may increase her risk of other diseases. High levels of oral diseases may also have an impact on the Oral Health Related Quality of Life. Although some studies on pregnant women have been reported, they have been limited to exploring the impact of certain factors, such as pain, on the Oral Health Related Quality of Life </w:t>
      </w:r>
      <w:r>
        <w:rPr>
          <w:position w:val="8"/>
          <w:sz w:val="19"/>
        </w:rPr>
        <w:t xml:space="preserve">4 </w:t>
      </w:r>
      <w:r>
        <w:rPr/>
        <w:t xml:space="preserve">. </w:t>
      </w:r>
    </w:p>
    <w:p>
      <w:pPr>
        <w:pStyle w:val="TextBody"/>
        <w:bidi w:val="0"/>
        <w:spacing w:before="0" w:after="283"/>
        <w:jc w:val="start"/>
        <w:rPr/>
      </w:pPr>
      <w:r>
        <w:rPr/>
        <w:t xml:space="preserve">Pregnancy gingivitis marked by the gingival inflammation is the most common condition seen during the pregnancy due to hormonal changes particularly during the second trimester of gestation. The signs and symptoms of pregnancy gingivitis, however do not differ from the gingivitis seen in non pregnant women </w:t>
      </w:r>
      <w:r>
        <w:rPr>
          <w:position w:val="8"/>
          <w:sz w:val="19"/>
        </w:rPr>
        <w:t xml:space="preserve">5 </w:t>
      </w:r>
      <w:r>
        <w:rPr/>
        <w:t xml:space="preserve">. It has been noted that the gingivitis in pregnancy is related to the accumulation of dental plaque and maintenance of proper oral hygiene in pregnant women can play an important role in preventing this condition and maintaining a healthy gingival state </w:t>
      </w:r>
      <w:r>
        <w:rPr>
          <w:position w:val="8"/>
          <w:sz w:val="19"/>
        </w:rPr>
        <w:t xml:space="preserve">6 </w:t>
      </w:r>
      <w:r>
        <w:rPr/>
        <w:t xml:space="preserve">. </w:t>
      </w:r>
    </w:p>
    <w:p>
      <w:pPr>
        <w:pStyle w:val="TextBody"/>
        <w:bidi w:val="0"/>
        <w:spacing w:before="0" w:after="283"/>
        <w:jc w:val="start"/>
        <w:rPr/>
      </w:pPr>
      <w:r>
        <w:rPr/>
        <w:t xml:space="preserve">There is a growing acceptance of the fact that oral disorders too can have a significant impact on physical, social and mental well-being during pregnancy. No study has been conducted on Oral Health Related Status of pregnant and non pregnant women in Agra city. Keeping the above facts in mind, an attempt was made to carry out a comparative hospital based study on Oral Health Status of pregnant and nonpregnant women attending selected hospitals in Agra city. </w:t>
      </w:r>
    </w:p>
    <w:p>
      <w:pPr>
        <w:pStyle w:val="TextBody"/>
        <w:bidi w:val="0"/>
        <w:spacing w:before="0" w:after="283"/>
        <w:jc w:val="start"/>
        <w:rPr/>
      </w:pPr>
      <w:r>
        <w:rPr/>
        <w:t xml:space="preserve">MATERIALS AND METHOD </w:t>
      </w:r>
    </w:p>
    <w:p>
      <w:pPr>
        <w:pStyle w:val="TextBody"/>
        <w:bidi w:val="0"/>
        <w:spacing w:before="0" w:after="283"/>
        <w:jc w:val="start"/>
        <w:rPr/>
      </w:pPr>
      <w:r>
        <w:rPr/>
        <w:t xml:space="preserve">A cross sectional study was carried out among 425 pregnant and 425 nonpregnant women of 18-45 years attending the hospital. A pilot study was conducted on 100 (n= 50) pregnant and nonpregnant women each with OHRQoL as a main parameter. The prevalence of Oral Impact on Daily Performance was 76%. The estimated sample size for the study based on prevalence of Oral Impact on Daily Performance was calculated to be 827. Keeping in mind the non-response rate in each hospital, sample size of 850 subjects was taken. To obtain the total sample size of 850, 85 pregnant and 85 nonpregnant women from each of the five zone were randomly selected. </w:t>
      </w:r>
    </w:p>
    <w:p>
      <w:pPr>
        <w:pStyle w:val="TextBody"/>
        <w:bidi w:val="0"/>
        <w:spacing w:before="0" w:after="283"/>
        <w:jc w:val="start"/>
        <w:rPr/>
      </w:pPr>
      <w:r>
        <w:rPr/>
        <w:t xml:space="preserve">INCLUSION CRITERA </w:t>
      </w:r>
    </w:p>
    <w:p>
      <w:pPr>
        <w:pStyle w:val="TextBody"/>
        <w:numPr>
          <w:ilvl w:val="0"/>
          <w:numId w:val="1"/>
        </w:numPr>
        <w:tabs>
          <w:tab w:val="clear" w:pos="1134"/>
          <w:tab w:val="left" w:pos="709" w:leader="none"/>
        </w:tabs>
        <w:bidi w:val="0"/>
        <w:spacing w:before="0" w:after="0"/>
        <w:ind w:start="709" w:hanging="283"/>
        <w:jc w:val="start"/>
        <w:rPr/>
      </w:pPr>
      <w:r>
        <w:rPr/>
        <w:t xml:space="preserve">Subjects reporting in the hospitals </w:t>
      </w:r>
    </w:p>
    <w:p>
      <w:pPr>
        <w:pStyle w:val="TextBody"/>
        <w:numPr>
          <w:ilvl w:val="0"/>
          <w:numId w:val="1"/>
        </w:numPr>
        <w:tabs>
          <w:tab w:val="clear" w:pos="1134"/>
          <w:tab w:val="left" w:pos="709" w:leader="none"/>
        </w:tabs>
        <w:bidi w:val="0"/>
        <w:spacing w:before="0" w:after="0"/>
        <w:ind w:start="709" w:hanging="283"/>
        <w:jc w:val="start"/>
        <w:rPr/>
      </w:pPr>
      <w:r>
        <w:rPr/>
        <w:t xml:space="preserve">Subjects willing to participate in the study. </w:t>
      </w:r>
    </w:p>
    <w:p>
      <w:pPr>
        <w:pStyle w:val="TextBody"/>
        <w:numPr>
          <w:ilvl w:val="0"/>
          <w:numId w:val="1"/>
        </w:numPr>
        <w:tabs>
          <w:tab w:val="clear" w:pos="1134"/>
          <w:tab w:val="left" w:pos="709" w:leader="none"/>
        </w:tabs>
        <w:bidi w:val="0"/>
        <w:ind w:start="709" w:hanging="283"/>
        <w:jc w:val="start"/>
        <w:rPr/>
      </w:pPr>
      <w:r>
        <w:rPr/>
        <w:t xml:space="preserve">Subjects of 18-45 years age group. </w:t>
      </w:r>
    </w:p>
    <w:p>
      <w:pPr>
        <w:pStyle w:val="TextBody"/>
        <w:bidi w:val="0"/>
        <w:jc w:val="start"/>
        <w:rPr/>
      </w:pPr>
      <w:r>
        <w:rPr/>
        <w:t xml:space="preserve">EXCLUSION CRITERIA </w:t>
      </w:r>
    </w:p>
    <w:p>
      <w:pPr>
        <w:pStyle w:val="TextBody"/>
        <w:numPr>
          <w:ilvl w:val="0"/>
          <w:numId w:val="2"/>
        </w:numPr>
        <w:tabs>
          <w:tab w:val="clear" w:pos="1134"/>
          <w:tab w:val="left" w:pos="709" w:leader="none"/>
        </w:tabs>
        <w:bidi w:val="0"/>
        <w:spacing w:before="0" w:after="0"/>
        <w:ind w:start="709" w:hanging="283"/>
        <w:jc w:val="start"/>
        <w:rPr/>
      </w:pPr>
      <w:r>
        <w:rPr/>
        <w:t xml:space="preserve">Subjects suffering from any systemic disease </w:t>
      </w:r>
    </w:p>
    <w:p>
      <w:pPr>
        <w:pStyle w:val="TextBody"/>
        <w:numPr>
          <w:ilvl w:val="0"/>
          <w:numId w:val="2"/>
        </w:numPr>
        <w:tabs>
          <w:tab w:val="clear" w:pos="1134"/>
          <w:tab w:val="left" w:pos="709" w:leader="none"/>
        </w:tabs>
        <w:bidi w:val="0"/>
        <w:ind w:start="709" w:hanging="283"/>
        <w:jc w:val="start"/>
        <w:rPr/>
      </w:pPr>
      <w:r>
        <w:rPr/>
        <w:t xml:space="preserve">Subjects in critical condition. </w:t>
      </w:r>
    </w:p>
    <w:p>
      <w:pPr>
        <w:pStyle w:val="TextBody"/>
        <w:bidi w:val="0"/>
        <w:jc w:val="start"/>
        <w:rPr/>
      </w:pPr>
      <w:r>
        <w:rPr/>
        <w:t xml:space="preserve">Ethical clearance for the study was obtained by the Ethical Committee of K. D. Dental College and Hospital, Mathura. Also informed consent was taken from the women prior to the examination. A pretested Questionnaire and proforma designed in local language for collecting all the required and relevant information was used. The questionnaire included questions regarding name, age, socioeconomic status, oral hygiene practices, frequency of dental visits, education, occupation, gravid status along with a self-reported oral health status questions. </w:t>
      </w:r>
    </w:p>
    <w:p>
      <w:pPr>
        <w:pStyle w:val="TextBody"/>
        <w:bidi w:val="0"/>
        <w:spacing w:before="0" w:after="283"/>
        <w:jc w:val="start"/>
        <w:rPr/>
      </w:pPr>
      <w:r>
        <w:rPr/>
        <w:t xml:space="preserve">Clinical examination included Oral Hygiene Index-Simplified (OHI-S), Gingival Index, Community Periodontal Index and DMFT/DMFS. Oral examination was done using mouth mirror, probe and natural light. Self-reported oral health status was assessed by asking eight questions that collected information about periodontal health and dental health. The eight questions were: Do you have bleeding gums?; burning gums?; swollen gums?; loose teeth?; decayed teeth?; tooth pain?; food lodgment between teeth?; sensitive teeth?. These questions were dichotomized into present and absent. </w:t>
      </w:r>
    </w:p>
    <w:p>
      <w:pPr>
        <w:pStyle w:val="TextBody"/>
        <w:bidi w:val="0"/>
        <w:spacing w:before="0" w:after="283"/>
        <w:jc w:val="start"/>
        <w:rPr/>
      </w:pPr>
      <w:r>
        <w:rPr/>
        <w:t xml:space="preserve">The data obtained was compiled systematically from a pre-coded proforma in computer and a master table was prepared. The statistical analysis was done using SPSS version 16. 0 Statistical Analysis Software. Results on continuous measurement were presented in Mean±SD (Min-Max) and results on categorical measurements were presented in Number (%). Significance was assessed at 5% level of significance. </w:t>
      </w:r>
    </w:p>
    <w:p>
      <w:pPr>
        <w:pStyle w:val="TextBody"/>
        <w:bidi w:val="0"/>
        <w:spacing w:before="0" w:after="283"/>
        <w:jc w:val="start"/>
        <w:rPr/>
      </w:pPr>
      <w:r>
        <w:rPr/>
        <w:t xml:space="preserve">RESULTS </w:t>
      </w:r>
    </w:p>
    <w:p>
      <w:pPr>
        <w:pStyle w:val="TextBody"/>
        <w:bidi w:val="0"/>
        <w:spacing w:before="0" w:after="283"/>
        <w:jc w:val="start"/>
        <w:rPr/>
      </w:pPr>
      <w:r>
        <w:rPr/>
        <w:t xml:space="preserve">A total of 850 study subjects were selected out of which 61(7. 17%) were of the age group 20-25 years with mean age observed 29. 30±3. 30. Among pregnant women, 204(48%) had poor OHI-S scores(Table. 1), 198(46. 58%) had moderate gingivitis(Table. 2), 61(14. 35%) had CPI score 4 (Table. 3) and 37(8. 71%) had LOA score 2 (Table. 4). The mean number of decayed, missing and filled teeth were 3. 42±2. 66, 2. 91±2. 01 and 3. 01±1. 98 respectively among pregnant group. The mean scores for self reported oral health status, among pregnant group was 64. 38±5. 59 for decayed teeth and among nonpregnant group was 65. 81±5. 36 for burning gums (Table. 5). </w:t>
      </w:r>
    </w:p>
    <w:p>
      <w:pPr>
        <w:pStyle w:val="TextBody"/>
        <w:bidi w:val="0"/>
        <w:spacing w:before="0" w:after="283"/>
        <w:jc w:val="start"/>
        <w:rPr/>
      </w:pPr>
      <w:r>
        <w:rPr/>
        <w:t xml:space="preserve">TABLE. 1 DISTRIBUTION OF STUDY SUBJECTS ACCORDING TO OHI-S SCORES AMONG PREGNANT AND NONPREGNANT GROUP </w:t>
      </w:r>
    </w:p>
    <w:tbl>
      <w:tblPr>
        <w:tblW w:w="6709" w:type="dxa"/>
        <w:jc w:val="start"/>
        <w:tblInd w:w="0" w:type="dxa"/>
        <w:tblLayout w:type="fixed"/>
        <w:tblCellMar>
          <w:top w:w="28" w:type="dxa"/>
          <w:start w:w="28" w:type="dxa"/>
          <w:bottom w:w="28" w:type="dxa"/>
          <w:end w:w="28" w:type="dxa"/>
        </w:tblCellMar>
      </w:tblPr>
      <w:tblGrid>
        <w:gridCol w:w="1681"/>
        <w:gridCol w:w="1486"/>
        <w:gridCol w:w="2026"/>
        <w:gridCol w:w="1516"/>
      </w:tblGrid>
      <w:tr>
        <w:trPr/>
        <w:tc>
          <w:tcPr>
            <w:tcW w:w="1681" w:type="dxa"/>
            <w:tcBorders/>
            <w:vAlign w:val="center"/>
          </w:tcPr>
          <w:p>
            <w:pPr>
              <w:pStyle w:val="TableContents"/>
              <w:bidi w:val="0"/>
              <w:spacing w:before="0" w:after="283"/>
              <w:jc w:val="start"/>
              <w:rPr/>
            </w:pPr>
            <w:r>
              <w:rPr/>
              <w:t xml:space="preserve">OHI-S SCORE </w:t>
            </w:r>
          </w:p>
        </w:tc>
        <w:tc>
          <w:tcPr>
            <w:tcW w:w="1486" w:type="dxa"/>
            <w:tcBorders/>
            <w:vAlign w:val="center"/>
          </w:tcPr>
          <w:p>
            <w:pPr>
              <w:pStyle w:val="TableContents"/>
              <w:bidi w:val="0"/>
              <w:spacing w:before="0" w:after="283"/>
              <w:jc w:val="start"/>
              <w:rPr/>
            </w:pPr>
            <w:r>
              <w:rPr/>
              <w:t xml:space="preserve">PREGNANT </w:t>
            </w:r>
          </w:p>
        </w:tc>
        <w:tc>
          <w:tcPr>
            <w:tcW w:w="2026" w:type="dxa"/>
            <w:tcBorders/>
            <w:vAlign w:val="center"/>
          </w:tcPr>
          <w:p>
            <w:pPr>
              <w:pStyle w:val="TableContents"/>
              <w:bidi w:val="0"/>
              <w:spacing w:before="0" w:after="283"/>
              <w:jc w:val="start"/>
              <w:rPr/>
            </w:pPr>
            <w:r>
              <w:rPr/>
              <w:t xml:space="preserve">NONPREGNANT </w:t>
            </w:r>
          </w:p>
        </w:tc>
        <w:tc>
          <w:tcPr>
            <w:tcW w:w="1516" w:type="dxa"/>
            <w:tcBorders/>
            <w:vAlign w:val="center"/>
          </w:tcPr>
          <w:p>
            <w:pPr>
              <w:pStyle w:val="TableContents"/>
              <w:bidi w:val="0"/>
              <w:spacing w:before="0" w:after="283"/>
              <w:jc w:val="start"/>
              <w:rPr/>
            </w:pPr>
            <w:r>
              <w:rPr/>
              <w:t xml:space="preserve">TOTAL </w:t>
            </w:r>
          </w:p>
        </w:tc>
      </w:tr>
      <w:tr>
        <w:trPr/>
        <w:tc>
          <w:tcPr>
            <w:tcW w:w="1681" w:type="dxa"/>
            <w:tcBorders/>
            <w:vAlign w:val="center"/>
          </w:tcPr>
          <w:p>
            <w:pPr>
              <w:pStyle w:val="TableContents"/>
              <w:bidi w:val="0"/>
              <w:spacing w:before="0" w:after="283"/>
              <w:jc w:val="start"/>
              <w:rPr/>
            </w:pPr>
            <w:r>
              <w:rPr/>
              <w:t xml:space="preserve">0. 0-1. 2 Good </w:t>
            </w:r>
          </w:p>
        </w:tc>
        <w:tc>
          <w:tcPr>
            <w:tcW w:w="1486" w:type="dxa"/>
            <w:tcBorders/>
            <w:vAlign w:val="center"/>
          </w:tcPr>
          <w:p>
            <w:pPr>
              <w:pStyle w:val="TableContents"/>
              <w:bidi w:val="0"/>
              <w:spacing w:before="0" w:after="283"/>
              <w:jc w:val="start"/>
              <w:rPr/>
            </w:pPr>
            <w:r>
              <w:rPr/>
              <w:t xml:space="preserve">64(15. 05%) </w:t>
            </w:r>
          </w:p>
        </w:tc>
        <w:tc>
          <w:tcPr>
            <w:tcW w:w="2026" w:type="dxa"/>
            <w:tcBorders/>
            <w:vAlign w:val="center"/>
          </w:tcPr>
          <w:p>
            <w:pPr>
              <w:pStyle w:val="TableContents"/>
              <w:bidi w:val="0"/>
              <w:spacing w:before="0" w:after="283"/>
              <w:jc w:val="start"/>
              <w:rPr/>
            </w:pPr>
            <w:r>
              <w:rPr/>
              <w:t xml:space="preserve">208(48. 94%) </w:t>
            </w:r>
          </w:p>
        </w:tc>
        <w:tc>
          <w:tcPr>
            <w:tcW w:w="1516" w:type="dxa"/>
            <w:tcBorders/>
            <w:vAlign w:val="center"/>
          </w:tcPr>
          <w:p>
            <w:pPr>
              <w:pStyle w:val="TableContents"/>
              <w:bidi w:val="0"/>
              <w:spacing w:before="0" w:after="283"/>
              <w:jc w:val="start"/>
              <w:rPr/>
            </w:pPr>
            <w:r>
              <w:rPr/>
              <w:t xml:space="preserve">272(32%) </w:t>
            </w:r>
          </w:p>
        </w:tc>
      </w:tr>
      <w:tr>
        <w:trPr/>
        <w:tc>
          <w:tcPr>
            <w:tcW w:w="1681" w:type="dxa"/>
            <w:tcBorders/>
            <w:vAlign w:val="center"/>
          </w:tcPr>
          <w:p>
            <w:pPr>
              <w:pStyle w:val="TableContents"/>
              <w:bidi w:val="0"/>
              <w:spacing w:before="0" w:after="283"/>
              <w:jc w:val="start"/>
              <w:rPr/>
            </w:pPr>
            <w:r>
              <w:rPr/>
              <w:t xml:space="preserve">1. 3-3. 0 Fair </w:t>
            </w:r>
          </w:p>
        </w:tc>
        <w:tc>
          <w:tcPr>
            <w:tcW w:w="1486" w:type="dxa"/>
            <w:tcBorders/>
            <w:vAlign w:val="center"/>
          </w:tcPr>
          <w:p>
            <w:pPr>
              <w:pStyle w:val="TableContents"/>
              <w:bidi w:val="0"/>
              <w:spacing w:before="0" w:after="283"/>
              <w:jc w:val="start"/>
              <w:rPr/>
            </w:pPr>
            <w:r>
              <w:rPr/>
              <w:t xml:space="preserve">157(36. 95%) </w:t>
            </w:r>
          </w:p>
        </w:tc>
        <w:tc>
          <w:tcPr>
            <w:tcW w:w="2026" w:type="dxa"/>
            <w:tcBorders/>
            <w:vAlign w:val="center"/>
          </w:tcPr>
          <w:p>
            <w:pPr>
              <w:pStyle w:val="TableContents"/>
              <w:bidi w:val="0"/>
              <w:spacing w:before="0" w:after="283"/>
              <w:jc w:val="start"/>
              <w:rPr/>
            </w:pPr>
            <w:r>
              <w:rPr/>
              <w:t xml:space="preserve">178(41. 88%) </w:t>
            </w:r>
          </w:p>
        </w:tc>
        <w:tc>
          <w:tcPr>
            <w:tcW w:w="1516" w:type="dxa"/>
            <w:tcBorders/>
            <w:vAlign w:val="center"/>
          </w:tcPr>
          <w:p>
            <w:pPr>
              <w:pStyle w:val="TableContents"/>
              <w:bidi w:val="0"/>
              <w:spacing w:before="0" w:after="283"/>
              <w:jc w:val="start"/>
              <w:rPr/>
            </w:pPr>
            <w:r>
              <w:rPr/>
              <w:t xml:space="preserve">335(39. 14%) </w:t>
            </w:r>
          </w:p>
        </w:tc>
      </w:tr>
      <w:tr>
        <w:trPr/>
        <w:tc>
          <w:tcPr>
            <w:tcW w:w="1681" w:type="dxa"/>
            <w:tcBorders/>
            <w:vAlign w:val="center"/>
          </w:tcPr>
          <w:p>
            <w:pPr>
              <w:pStyle w:val="TableContents"/>
              <w:bidi w:val="0"/>
              <w:spacing w:before="0" w:after="283"/>
              <w:jc w:val="start"/>
              <w:rPr/>
            </w:pPr>
            <w:r>
              <w:rPr/>
              <w:t xml:space="preserve">3. 1-6 Poor </w:t>
            </w:r>
          </w:p>
        </w:tc>
        <w:tc>
          <w:tcPr>
            <w:tcW w:w="1486" w:type="dxa"/>
            <w:tcBorders/>
            <w:vAlign w:val="center"/>
          </w:tcPr>
          <w:p>
            <w:pPr>
              <w:pStyle w:val="TableContents"/>
              <w:bidi w:val="0"/>
              <w:spacing w:before="0" w:after="283"/>
              <w:jc w:val="start"/>
              <w:rPr/>
            </w:pPr>
            <w:r>
              <w:rPr/>
              <w:t xml:space="preserve">204(48%) </w:t>
            </w:r>
          </w:p>
        </w:tc>
        <w:tc>
          <w:tcPr>
            <w:tcW w:w="2026" w:type="dxa"/>
            <w:tcBorders/>
            <w:vAlign w:val="center"/>
          </w:tcPr>
          <w:p>
            <w:pPr>
              <w:pStyle w:val="TableContents"/>
              <w:bidi w:val="0"/>
              <w:spacing w:before="0" w:after="283"/>
              <w:jc w:val="start"/>
              <w:rPr/>
            </w:pPr>
            <w:r>
              <w:rPr/>
              <w:t xml:space="preserve">39(9. 17%) </w:t>
            </w:r>
          </w:p>
        </w:tc>
        <w:tc>
          <w:tcPr>
            <w:tcW w:w="1516" w:type="dxa"/>
            <w:tcBorders/>
            <w:vAlign w:val="center"/>
          </w:tcPr>
          <w:p>
            <w:pPr>
              <w:pStyle w:val="TableContents"/>
              <w:bidi w:val="0"/>
              <w:spacing w:before="0" w:after="283"/>
              <w:jc w:val="start"/>
              <w:rPr/>
            </w:pPr>
            <w:r>
              <w:rPr/>
              <w:t xml:space="preserve">243(28. 58%) </w:t>
            </w:r>
          </w:p>
        </w:tc>
      </w:tr>
      <w:tr>
        <w:trPr/>
        <w:tc>
          <w:tcPr>
            <w:tcW w:w="1681" w:type="dxa"/>
            <w:tcBorders/>
            <w:vAlign w:val="center"/>
          </w:tcPr>
          <w:p>
            <w:pPr>
              <w:pStyle w:val="TableContents"/>
              <w:bidi w:val="0"/>
              <w:spacing w:before="0" w:after="283"/>
              <w:jc w:val="start"/>
              <w:rPr/>
            </w:pPr>
            <w:r>
              <w:rPr/>
              <w:t xml:space="preserve">Total </w:t>
            </w:r>
          </w:p>
        </w:tc>
        <w:tc>
          <w:tcPr>
            <w:tcW w:w="1486" w:type="dxa"/>
            <w:tcBorders/>
            <w:vAlign w:val="center"/>
          </w:tcPr>
          <w:p>
            <w:pPr>
              <w:pStyle w:val="TableContents"/>
              <w:bidi w:val="0"/>
              <w:spacing w:before="0" w:after="283"/>
              <w:jc w:val="start"/>
              <w:rPr/>
            </w:pPr>
            <w:r>
              <w:rPr/>
              <w:t xml:space="preserve">425(100%) </w:t>
            </w:r>
          </w:p>
        </w:tc>
        <w:tc>
          <w:tcPr>
            <w:tcW w:w="2026" w:type="dxa"/>
            <w:tcBorders/>
            <w:vAlign w:val="center"/>
          </w:tcPr>
          <w:p>
            <w:pPr>
              <w:pStyle w:val="TableContents"/>
              <w:bidi w:val="0"/>
              <w:spacing w:before="0" w:after="283"/>
              <w:jc w:val="start"/>
              <w:rPr/>
            </w:pPr>
            <w:r>
              <w:rPr/>
              <w:t xml:space="preserve">425(100%) </w:t>
            </w:r>
          </w:p>
        </w:tc>
        <w:tc>
          <w:tcPr>
            <w:tcW w:w="1516" w:type="dxa"/>
            <w:tcBorders/>
            <w:vAlign w:val="center"/>
          </w:tcPr>
          <w:p>
            <w:pPr>
              <w:pStyle w:val="TableContents"/>
              <w:bidi w:val="0"/>
              <w:spacing w:before="0" w:after="283"/>
              <w:jc w:val="start"/>
              <w:rPr/>
            </w:pPr>
            <w:r>
              <w:rPr/>
              <w:t xml:space="preserve">850(100%) </w:t>
            </w:r>
          </w:p>
        </w:tc>
      </w:tr>
    </w:tbl>
    <w:p>
      <w:pPr>
        <w:pStyle w:val="TextBody"/>
        <w:bidi w:val="0"/>
        <w:spacing w:before="0" w:after="283"/>
        <w:jc w:val="start"/>
        <w:rPr/>
      </w:pPr>
      <w:r>
        <w:rPr/>
        <w:t xml:space="preserve">TABLE. 2DISTRIBUTION OF STUDY SUBJECTS ACCORDING TO GINGIVAL INDEX SCORES AMONG PREGNANT AND NONPREGNANT GROUP </w:t>
      </w:r>
    </w:p>
    <w:tbl>
      <w:tblPr>
        <w:tblW w:w="7268" w:type="dxa"/>
        <w:jc w:val="start"/>
        <w:tblInd w:w="0" w:type="dxa"/>
        <w:tblLayout w:type="fixed"/>
        <w:tblCellMar>
          <w:top w:w="28" w:type="dxa"/>
          <w:start w:w="28" w:type="dxa"/>
          <w:bottom w:w="28" w:type="dxa"/>
          <w:end w:w="28" w:type="dxa"/>
        </w:tblCellMar>
      </w:tblPr>
      <w:tblGrid>
        <w:gridCol w:w="2086"/>
        <w:gridCol w:w="1531"/>
        <w:gridCol w:w="2026"/>
        <w:gridCol w:w="1471"/>
        <w:gridCol w:w="154"/>
      </w:tblGrid>
      <w:tr>
        <w:trPr/>
        <w:tc>
          <w:tcPr>
            <w:tcW w:w="2086" w:type="dxa"/>
            <w:tcBorders/>
            <w:vAlign w:val="center"/>
          </w:tcPr>
          <w:p>
            <w:pPr>
              <w:pStyle w:val="TableContents"/>
              <w:bidi w:val="0"/>
              <w:spacing w:before="0" w:after="283"/>
              <w:jc w:val="start"/>
              <w:rPr/>
            </w:pPr>
            <w:r>
              <w:rPr/>
              <w:t xml:space="preserve">GI- SCORE </w:t>
            </w:r>
          </w:p>
        </w:tc>
        <w:tc>
          <w:tcPr>
            <w:tcW w:w="1531" w:type="dxa"/>
            <w:tcBorders/>
            <w:vAlign w:val="center"/>
          </w:tcPr>
          <w:p>
            <w:pPr>
              <w:pStyle w:val="TableContents"/>
              <w:bidi w:val="0"/>
              <w:spacing w:before="0" w:after="283"/>
              <w:jc w:val="start"/>
              <w:rPr/>
            </w:pPr>
            <w:r>
              <w:rPr/>
              <w:t xml:space="preserve">PREGNANT </w:t>
            </w:r>
          </w:p>
        </w:tc>
        <w:tc>
          <w:tcPr>
            <w:tcW w:w="2026" w:type="dxa"/>
            <w:tcBorders/>
            <w:vAlign w:val="center"/>
          </w:tcPr>
          <w:p>
            <w:pPr>
              <w:pStyle w:val="TableContents"/>
              <w:bidi w:val="0"/>
              <w:spacing w:before="0" w:after="283"/>
              <w:jc w:val="start"/>
              <w:rPr/>
            </w:pPr>
            <w:r>
              <w:rPr/>
              <w:t xml:space="preserve">NONPREGNANT </w:t>
            </w:r>
          </w:p>
        </w:tc>
        <w:tc>
          <w:tcPr>
            <w:tcW w:w="1471" w:type="dxa"/>
            <w:tcBorders/>
            <w:vAlign w:val="center"/>
          </w:tcPr>
          <w:p>
            <w:pPr>
              <w:pStyle w:val="TableContents"/>
              <w:bidi w:val="0"/>
              <w:spacing w:before="0" w:after="283"/>
              <w:jc w:val="start"/>
              <w:rPr/>
            </w:pPr>
            <w:r>
              <w:rPr/>
              <w:t xml:space="preserve">TOTAL </w:t>
            </w:r>
          </w:p>
        </w:tc>
        <w:tc>
          <w:tcPr>
            <w:tcW w:w="154" w:type="dxa"/>
            <w:tcBorders/>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pPr>
            <w:r>
              <w:rPr/>
              <w:t xml:space="preserve">0-Normal </w:t>
            </w:r>
          </w:p>
        </w:tc>
        <w:tc>
          <w:tcPr>
            <w:tcW w:w="1531" w:type="dxa"/>
            <w:tcBorders/>
            <w:vAlign w:val="center"/>
          </w:tcPr>
          <w:p>
            <w:pPr>
              <w:pStyle w:val="TableContents"/>
              <w:bidi w:val="0"/>
              <w:spacing w:before="0" w:after="283"/>
              <w:jc w:val="start"/>
              <w:rPr/>
            </w:pPr>
            <w:r>
              <w:rPr/>
              <w:t xml:space="preserve">46(10. 22%) </w:t>
            </w:r>
          </w:p>
        </w:tc>
        <w:tc>
          <w:tcPr>
            <w:tcW w:w="2026" w:type="dxa"/>
            <w:tcBorders/>
            <w:vAlign w:val="center"/>
          </w:tcPr>
          <w:p>
            <w:pPr>
              <w:pStyle w:val="TableContents"/>
              <w:bidi w:val="0"/>
              <w:spacing w:before="0" w:after="283"/>
              <w:jc w:val="start"/>
              <w:rPr/>
            </w:pPr>
            <w:r>
              <w:rPr/>
              <w:t xml:space="preserve">56(13. 18%) </w:t>
            </w:r>
          </w:p>
        </w:tc>
        <w:tc>
          <w:tcPr>
            <w:tcW w:w="1471" w:type="dxa"/>
            <w:tcBorders/>
            <w:vAlign w:val="center"/>
          </w:tcPr>
          <w:p>
            <w:pPr>
              <w:pStyle w:val="TableContents"/>
              <w:bidi w:val="0"/>
              <w:spacing w:before="0" w:after="283"/>
              <w:jc w:val="start"/>
              <w:rPr/>
            </w:pPr>
            <w:r>
              <w:rPr/>
              <w:t xml:space="preserve">102(12%) </w:t>
            </w:r>
          </w:p>
        </w:tc>
        <w:tc>
          <w:tcPr>
            <w:tcW w:w="154" w:type="dxa"/>
            <w:tcBorders/>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pPr>
            <w:r>
              <w:rPr/>
              <w:t xml:space="preserve">0. 1-1. 0 (Mild) </w:t>
            </w:r>
          </w:p>
        </w:tc>
        <w:tc>
          <w:tcPr>
            <w:tcW w:w="1531" w:type="dxa"/>
            <w:tcBorders/>
            <w:vAlign w:val="center"/>
          </w:tcPr>
          <w:p>
            <w:pPr>
              <w:pStyle w:val="TableContents"/>
              <w:bidi w:val="0"/>
              <w:spacing w:before="0" w:after="283"/>
              <w:jc w:val="start"/>
              <w:rPr/>
            </w:pPr>
            <w:r>
              <w:rPr/>
              <w:t xml:space="preserve">133( 31. 29%) </w:t>
            </w:r>
          </w:p>
        </w:tc>
        <w:tc>
          <w:tcPr>
            <w:tcW w:w="2026" w:type="dxa"/>
            <w:tcBorders/>
            <w:vAlign w:val="center"/>
          </w:tcPr>
          <w:p>
            <w:pPr>
              <w:pStyle w:val="TableContents"/>
              <w:bidi w:val="0"/>
              <w:spacing w:before="0" w:after="283"/>
              <w:jc w:val="start"/>
              <w:rPr/>
            </w:pPr>
            <w:r>
              <w:rPr/>
              <w:t xml:space="preserve">184(43. 29%) </w:t>
            </w:r>
          </w:p>
        </w:tc>
        <w:tc>
          <w:tcPr>
            <w:tcW w:w="1471" w:type="dxa"/>
            <w:tcBorders/>
            <w:vAlign w:val="center"/>
          </w:tcPr>
          <w:p>
            <w:pPr>
              <w:pStyle w:val="TableContents"/>
              <w:bidi w:val="0"/>
              <w:spacing w:before="0" w:after="283"/>
              <w:jc w:val="start"/>
              <w:rPr/>
            </w:pPr>
            <w:r>
              <w:rPr/>
              <w:t xml:space="preserve">317(37. 29%) </w:t>
            </w:r>
          </w:p>
        </w:tc>
        <w:tc>
          <w:tcPr>
            <w:tcW w:w="154" w:type="dxa"/>
            <w:tcBorders/>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pPr>
            <w:r>
              <w:rPr/>
              <w:t xml:space="preserve">1. 1-2. 0 (Moderate) </w:t>
            </w:r>
          </w:p>
        </w:tc>
        <w:tc>
          <w:tcPr>
            <w:tcW w:w="1531" w:type="dxa"/>
            <w:tcBorders/>
            <w:vAlign w:val="center"/>
          </w:tcPr>
          <w:p>
            <w:pPr>
              <w:pStyle w:val="TableContents"/>
              <w:bidi w:val="0"/>
              <w:spacing w:before="0" w:after="283"/>
              <w:jc w:val="start"/>
              <w:rPr/>
            </w:pPr>
            <w:r>
              <w:rPr/>
              <w:t xml:space="preserve">198(46. 58%) </w:t>
            </w:r>
          </w:p>
        </w:tc>
        <w:tc>
          <w:tcPr>
            <w:tcW w:w="2026" w:type="dxa"/>
            <w:tcBorders/>
            <w:vAlign w:val="center"/>
          </w:tcPr>
          <w:p>
            <w:pPr>
              <w:pStyle w:val="TableContents"/>
              <w:bidi w:val="0"/>
              <w:spacing w:before="0" w:after="283"/>
              <w:jc w:val="start"/>
              <w:rPr/>
            </w:pPr>
            <w:r>
              <w:rPr/>
              <w:t xml:space="preserve">168(39. 53%) </w:t>
            </w:r>
          </w:p>
        </w:tc>
        <w:tc>
          <w:tcPr>
            <w:tcW w:w="1471" w:type="dxa"/>
            <w:tcBorders/>
            <w:vAlign w:val="center"/>
          </w:tcPr>
          <w:p>
            <w:pPr>
              <w:pStyle w:val="TableContents"/>
              <w:bidi w:val="0"/>
              <w:spacing w:before="0" w:after="283"/>
              <w:jc w:val="start"/>
              <w:rPr/>
            </w:pPr>
            <w:r>
              <w:rPr/>
              <w:t xml:space="preserve">366(43. 06%) </w:t>
            </w:r>
          </w:p>
        </w:tc>
        <w:tc>
          <w:tcPr>
            <w:tcW w:w="154" w:type="dxa"/>
            <w:tcBorders/>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pPr>
            <w:r>
              <w:rPr/>
              <w:t xml:space="preserve">2. 1-3. 0 (Severe) </w:t>
            </w:r>
          </w:p>
        </w:tc>
        <w:tc>
          <w:tcPr>
            <w:tcW w:w="1531" w:type="dxa"/>
            <w:tcBorders/>
            <w:vAlign w:val="center"/>
          </w:tcPr>
          <w:p>
            <w:pPr>
              <w:pStyle w:val="TableContents"/>
              <w:bidi w:val="0"/>
              <w:spacing w:before="0" w:after="283"/>
              <w:jc w:val="start"/>
              <w:rPr/>
            </w:pPr>
            <w:r>
              <w:rPr/>
              <w:t xml:space="preserve">48(11. 29%) </w:t>
            </w:r>
          </w:p>
        </w:tc>
        <w:tc>
          <w:tcPr>
            <w:tcW w:w="2026" w:type="dxa"/>
            <w:tcBorders/>
            <w:vAlign w:val="center"/>
          </w:tcPr>
          <w:p>
            <w:pPr>
              <w:pStyle w:val="TableContents"/>
              <w:bidi w:val="0"/>
              <w:spacing w:before="0" w:after="283"/>
              <w:jc w:val="start"/>
              <w:rPr/>
            </w:pPr>
            <w:r>
              <w:rPr/>
              <w:t xml:space="preserve">17(4. 00%) </w:t>
            </w:r>
          </w:p>
        </w:tc>
        <w:tc>
          <w:tcPr>
            <w:tcW w:w="1471" w:type="dxa"/>
            <w:tcBorders/>
            <w:vAlign w:val="center"/>
          </w:tcPr>
          <w:p>
            <w:pPr>
              <w:pStyle w:val="TableContents"/>
              <w:bidi w:val="0"/>
              <w:spacing w:before="0" w:after="283"/>
              <w:jc w:val="start"/>
              <w:rPr/>
            </w:pPr>
            <w:r>
              <w:rPr/>
              <w:t xml:space="preserve">65(7. 65%) </w:t>
            </w:r>
          </w:p>
        </w:tc>
        <w:tc>
          <w:tcPr>
            <w:tcW w:w="154" w:type="dxa"/>
            <w:tcBorders/>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pPr>
            <w:r>
              <w:rPr/>
              <w:t xml:space="preserve">Total </w:t>
            </w:r>
          </w:p>
        </w:tc>
        <w:tc>
          <w:tcPr>
            <w:tcW w:w="1531" w:type="dxa"/>
            <w:tcBorders/>
            <w:vAlign w:val="center"/>
          </w:tcPr>
          <w:p>
            <w:pPr>
              <w:pStyle w:val="TableContents"/>
              <w:bidi w:val="0"/>
              <w:spacing w:before="0" w:after="283"/>
              <w:jc w:val="start"/>
              <w:rPr/>
            </w:pPr>
            <w:r>
              <w:rPr/>
              <w:t xml:space="preserve">425(100%) </w:t>
            </w:r>
          </w:p>
        </w:tc>
        <w:tc>
          <w:tcPr>
            <w:tcW w:w="2026" w:type="dxa"/>
            <w:tcBorders/>
            <w:vAlign w:val="center"/>
          </w:tcPr>
          <w:p>
            <w:pPr>
              <w:pStyle w:val="TableContents"/>
              <w:bidi w:val="0"/>
              <w:spacing w:before="0" w:after="283"/>
              <w:jc w:val="start"/>
              <w:rPr/>
            </w:pPr>
            <w:r>
              <w:rPr/>
              <w:t xml:space="preserve">425(100%) </w:t>
            </w:r>
          </w:p>
        </w:tc>
        <w:tc>
          <w:tcPr>
            <w:tcW w:w="1471" w:type="dxa"/>
            <w:tcBorders/>
            <w:vAlign w:val="center"/>
          </w:tcPr>
          <w:p>
            <w:pPr>
              <w:pStyle w:val="TableContents"/>
              <w:bidi w:val="0"/>
              <w:spacing w:before="0" w:after="283"/>
              <w:jc w:val="start"/>
              <w:rPr/>
            </w:pPr>
            <w:r>
              <w:rPr/>
              <w:t xml:space="preserve">850(100%) </w:t>
            </w:r>
          </w:p>
        </w:tc>
        <w:tc>
          <w:tcPr>
            <w:tcW w:w="154" w:type="dxa"/>
            <w:tcBorders/>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sz w:val="4"/>
                <w:szCs w:val="4"/>
              </w:rPr>
            </w:pPr>
            <w:r>
              <w:rPr>
                <w:sz w:val="4"/>
                <w:szCs w:val="4"/>
              </w:rPr>
            </w:r>
          </w:p>
        </w:tc>
        <w:tc>
          <w:tcPr>
            <w:tcW w:w="1531" w:type="dxa"/>
            <w:tcBorders/>
            <w:vAlign w:val="center"/>
          </w:tcPr>
          <w:p>
            <w:pPr>
              <w:pStyle w:val="TableContents"/>
              <w:bidi w:val="0"/>
              <w:spacing w:before="0" w:after="283"/>
              <w:jc w:val="start"/>
              <w:rPr>
                <w:sz w:val="4"/>
                <w:szCs w:val="4"/>
              </w:rPr>
            </w:pPr>
            <w:r>
              <w:rPr>
                <w:sz w:val="4"/>
                <w:szCs w:val="4"/>
              </w:rPr>
            </w:r>
          </w:p>
        </w:tc>
        <w:tc>
          <w:tcPr>
            <w:tcW w:w="2026"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3DISTRIBUTION OF STUDY SUBJECTS ACCORDING TO CPI SCORES AMONG PREGNANT AND NONPREGNANT GROUP </w:t>
      </w:r>
    </w:p>
    <w:tbl>
      <w:tblPr>
        <w:tblW w:w="7058" w:type="dxa"/>
        <w:jc w:val="start"/>
        <w:tblInd w:w="0" w:type="dxa"/>
        <w:tblLayout w:type="fixed"/>
        <w:tblCellMar>
          <w:top w:w="28" w:type="dxa"/>
          <w:start w:w="28" w:type="dxa"/>
          <w:bottom w:w="28" w:type="dxa"/>
          <w:end w:w="28" w:type="dxa"/>
        </w:tblCellMar>
      </w:tblPr>
      <w:tblGrid>
        <w:gridCol w:w="1921"/>
        <w:gridCol w:w="1486"/>
        <w:gridCol w:w="2026"/>
        <w:gridCol w:w="1471"/>
        <w:gridCol w:w="154"/>
      </w:tblGrid>
      <w:tr>
        <w:trPr/>
        <w:tc>
          <w:tcPr>
            <w:tcW w:w="1921" w:type="dxa"/>
            <w:tcBorders/>
            <w:vAlign w:val="center"/>
          </w:tcPr>
          <w:p>
            <w:pPr>
              <w:pStyle w:val="TableContents"/>
              <w:bidi w:val="0"/>
              <w:spacing w:before="0" w:after="283"/>
              <w:jc w:val="start"/>
              <w:rPr/>
              <w:numPr>
                <w:ilvl w:val="0"/>
                <w:numId w:val="4"/>
              </w:numPr>
            </w:pPr>
            <w:r>
              <w:rPr/>
              <w:t xml:space="preserve">CPI- SCORE </w:t>
            </w:r>
          </w:p>
        </w:tc>
        <w:tc>
          <w:tcPr>
            <w:tcW w:w="1486" w:type="dxa"/>
            <w:tcBorders/>
            <w:vAlign w:val="center"/>
          </w:tcPr>
          <w:p>
            <w:pPr>
              <w:pStyle w:val="TableContents"/>
              <w:bidi w:val="0"/>
              <w:spacing w:before="0" w:after="283"/>
              <w:jc w:val="start"/>
              <w:rPr/>
            </w:pPr>
            <w:r>
              <w:rPr/>
              <w:t xml:space="preserve">PREGNANT </w:t>
            </w:r>
          </w:p>
        </w:tc>
        <w:tc>
          <w:tcPr>
            <w:tcW w:w="2026" w:type="dxa"/>
            <w:tcBorders/>
            <w:vAlign w:val="center"/>
          </w:tcPr>
          <w:p>
            <w:pPr>
              <w:pStyle w:val="TableContents"/>
              <w:bidi w:val="0"/>
              <w:spacing w:before="0" w:after="283"/>
              <w:jc w:val="start"/>
              <w:rPr/>
            </w:pPr>
            <w:r>
              <w:rPr/>
              <w:t xml:space="preserve">NONPREGNANT </w:t>
            </w:r>
          </w:p>
        </w:tc>
        <w:tc>
          <w:tcPr>
            <w:tcW w:w="1471" w:type="dxa"/>
            <w:tcBorders/>
            <w:vAlign w:val="center"/>
          </w:tcPr>
          <w:p>
            <w:pPr>
              <w:pStyle w:val="TableContents"/>
              <w:bidi w:val="0"/>
              <w:spacing w:before="0" w:after="283"/>
              <w:jc w:val="start"/>
              <w:rPr/>
            </w:pPr>
            <w:r>
              <w:rPr/>
              <w:t xml:space="preserve">TOTAL </w:t>
            </w:r>
          </w:p>
        </w:tc>
        <w:tc>
          <w:tcPr>
            <w:tcW w:w="154" w:type="dxa"/>
            <w:tcBorders/>
          </w:tcPr>
          <w:p>
            <w:pPr>
              <w:pStyle w:val="TableContents"/>
              <w:bidi w:val="0"/>
              <w:spacing w:before="0" w:after="283"/>
              <w:jc w:val="start"/>
              <w:rPr>
                <w:sz w:val="4"/>
                <w:szCs w:val="4"/>
              </w:rPr>
            </w:pPr>
            <w:r>
              <w:rPr>
                <w:sz w:val="4"/>
                <w:szCs w:val="4"/>
              </w:rPr>
            </w:r>
          </w:p>
        </w:tc>
      </w:tr>
      <w:tr>
        <w:trPr/>
        <w:tc>
          <w:tcPr>
            <w:tcW w:w="1921" w:type="dxa"/>
            <w:tcBorders/>
            <w:vAlign w:val="center"/>
          </w:tcPr>
          <w:p>
            <w:pPr>
              <w:pStyle w:val="TableContents"/>
              <w:numPr>
                <w:ilvl w:val="0"/>
                <w:numId w:val="3"/>
              </w:numPr>
              <w:tabs>
                <w:tab w:val="clear" w:pos="1134"/>
                <w:tab w:val="left" w:pos="709" w:leader="none"/>
              </w:tabs>
              <w:bidi w:val="0"/>
              <w:spacing w:before="0" w:after="283"/>
              <w:ind w:start="709" w:hanging="283"/>
              <w:jc w:val="start"/>
              <w:rPr/>
            </w:pPr>
            <w:r>
              <w:rPr/>
              <w:t xml:space="preserve">Healthy </w:t>
            </w:r>
          </w:p>
        </w:tc>
        <w:tc>
          <w:tcPr>
            <w:tcW w:w="1486" w:type="dxa"/>
            <w:tcBorders/>
            <w:vAlign w:val="center"/>
          </w:tcPr>
          <w:p>
            <w:pPr>
              <w:pStyle w:val="TableContents"/>
              <w:bidi w:val="0"/>
              <w:spacing w:before="0" w:after="283"/>
              <w:jc w:val="start"/>
              <w:rPr/>
            </w:pPr>
            <w:r>
              <w:rPr/>
              <w:t xml:space="preserve">42(9. 89%) </w:t>
            </w:r>
          </w:p>
        </w:tc>
        <w:tc>
          <w:tcPr>
            <w:tcW w:w="2026" w:type="dxa"/>
            <w:tcBorders/>
            <w:vAlign w:val="center"/>
          </w:tcPr>
          <w:p>
            <w:pPr>
              <w:pStyle w:val="TableContents"/>
              <w:bidi w:val="0"/>
              <w:spacing w:before="0" w:after="283"/>
              <w:jc w:val="start"/>
              <w:rPr/>
            </w:pPr>
            <w:r>
              <w:rPr/>
              <w:t xml:space="preserve">56(13. 17%) </w:t>
            </w:r>
          </w:p>
        </w:tc>
        <w:tc>
          <w:tcPr>
            <w:tcW w:w="1471" w:type="dxa"/>
            <w:tcBorders/>
            <w:vAlign w:val="center"/>
          </w:tcPr>
          <w:p>
            <w:pPr>
              <w:pStyle w:val="TableContents"/>
              <w:bidi w:val="0"/>
              <w:spacing w:before="0" w:after="283"/>
              <w:jc w:val="start"/>
              <w:rPr/>
            </w:pPr>
            <w:r>
              <w:rPr/>
              <w:t xml:space="preserve">98(11. 52%) </w:t>
            </w:r>
          </w:p>
        </w:tc>
        <w:tc>
          <w:tcPr>
            <w:tcW w:w="154" w:type="dxa"/>
            <w:tcBorders/>
          </w:tcPr>
          <w:p>
            <w:pPr>
              <w:pStyle w:val="TableContents"/>
              <w:bidi w:val="0"/>
              <w:spacing w:before="0" w:after="283"/>
              <w:jc w:val="start"/>
              <w:rPr>
                <w:sz w:val="4"/>
                <w:szCs w:val="4"/>
              </w:rPr>
            </w:pPr>
            <w:r>
              <w:rPr>
                <w:sz w:val="4"/>
                <w:szCs w:val="4"/>
              </w:rPr>
            </w:r>
          </w:p>
        </w:tc>
      </w:tr>
      <w:tr>
        <w:trPr/>
        <w:tc>
          <w:tcPr>
            <w:tcW w:w="1921" w:type="dxa"/>
            <w:tcBorders/>
            <w:vAlign w:val="center"/>
          </w:tcPr>
          <w:p>
            <w:pPr>
              <w:pStyle w:val="TableContents"/>
              <w:numPr>
                <w:ilvl w:val="0"/>
                <w:numId w:val="3"/>
              </w:numPr>
              <w:tabs>
                <w:tab w:val="clear" w:pos="1134"/>
                <w:tab w:val="left" w:pos="709" w:leader="none"/>
              </w:tabs>
              <w:bidi w:val="0"/>
              <w:spacing w:before="0" w:after="283"/>
              <w:ind w:start="709" w:hanging="283"/>
              <w:jc w:val="start"/>
              <w:rPr/>
            </w:pPr>
            <w:r>
              <w:rPr/>
              <w:t xml:space="preserve">Bleeding </w:t>
            </w:r>
          </w:p>
        </w:tc>
        <w:tc>
          <w:tcPr>
            <w:tcW w:w="1486" w:type="dxa"/>
            <w:tcBorders/>
            <w:vAlign w:val="center"/>
          </w:tcPr>
          <w:p>
            <w:pPr>
              <w:pStyle w:val="TableContents"/>
              <w:bidi w:val="0"/>
              <w:spacing w:before="0" w:after="283"/>
              <w:jc w:val="start"/>
              <w:rPr/>
            </w:pPr>
            <w:r>
              <w:rPr/>
              <w:t xml:space="preserve">86(20. 23%) </w:t>
            </w:r>
          </w:p>
        </w:tc>
        <w:tc>
          <w:tcPr>
            <w:tcW w:w="2026" w:type="dxa"/>
            <w:tcBorders/>
            <w:vAlign w:val="center"/>
          </w:tcPr>
          <w:p>
            <w:pPr>
              <w:pStyle w:val="TableContents"/>
              <w:bidi w:val="0"/>
              <w:spacing w:before="0" w:after="283"/>
              <w:jc w:val="start"/>
              <w:rPr/>
            </w:pPr>
            <w:r>
              <w:rPr/>
              <w:t xml:space="preserve">142(33. 42%) </w:t>
            </w:r>
          </w:p>
        </w:tc>
        <w:tc>
          <w:tcPr>
            <w:tcW w:w="1471" w:type="dxa"/>
            <w:tcBorders/>
            <w:vAlign w:val="center"/>
          </w:tcPr>
          <w:p>
            <w:pPr>
              <w:pStyle w:val="TableContents"/>
              <w:bidi w:val="0"/>
              <w:spacing w:before="0" w:after="283"/>
              <w:jc w:val="start"/>
              <w:rPr/>
            </w:pPr>
            <w:r>
              <w:rPr/>
              <w:t xml:space="preserve">228(26. 85%) </w:t>
            </w:r>
          </w:p>
        </w:tc>
        <w:tc>
          <w:tcPr>
            <w:tcW w:w="154" w:type="dxa"/>
            <w:tcBorders/>
          </w:tcPr>
          <w:p>
            <w:pPr>
              <w:pStyle w:val="TableContents"/>
              <w:bidi w:val="0"/>
              <w:spacing w:before="0" w:after="283"/>
              <w:jc w:val="start"/>
              <w:rPr>
                <w:sz w:val="4"/>
                <w:szCs w:val="4"/>
              </w:rPr>
            </w:pPr>
            <w:r>
              <w:rPr>
                <w:sz w:val="4"/>
                <w:szCs w:val="4"/>
              </w:rPr>
            </w:r>
          </w:p>
        </w:tc>
      </w:tr>
      <w:tr>
        <w:trPr/>
        <w:tc>
          <w:tcPr>
            <w:tcW w:w="1921" w:type="dxa"/>
            <w:tcBorders/>
            <w:vAlign w:val="center"/>
          </w:tcPr>
          <w:p>
            <w:pPr>
              <w:pStyle w:val="TableContents"/>
              <w:numPr>
                <w:ilvl w:val="0"/>
                <w:numId w:val="3"/>
              </w:numPr>
              <w:tabs>
                <w:tab w:val="clear" w:pos="1134"/>
                <w:tab w:val="left" w:pos="709" w:leader="none"/>
              </w:tabs>
              <w:bidi w:val="0"/>
              <w:spacing w:before="0" w:after="283"/>
              <w:ind w:start="709" w:hanging="283"/>
              <w:jc w:val="start"/>
              <w:rPr/>
            </w:pPr>
            <w:r>
              <w:rPr/>
              <w:t xml:space="preserve">Calculus </w:t>
            </w:r>
          </w:p>
        </w:tc>
        <w:tc>
          <w:tcPr>
            <w:tcW w:w="1486" w:type="dxa"/>
            <w:tcBorders/>
            <w:vAlign w:val="center"/>
          </w:tcPr>
          <w:p>
            <w:pPr>
              <w:pStyle w:val="TableContents"/>
              <w:bidi w:val="0"/>
              <w:spacing w:before="0" w:after="283"/>
              <w:jc w:val="start"/>
              <w:rPr/>
            </w:pPr>
            <w:r>
              <w:rPr/>
              <w:t xml:space="preserve">98(23. 05%) </w:t>
            </w:r>
          </w:p>
        </w:tc>
        <w:tc>
          <w:tcPr>
            <w:tcW w:w="2026" w:type="dxa"/>
            <w:tcBorders/>
            <w:vAlign w:val="center"/>
          </w:tcPr>
          <w:p>
            <w:pPr>
              <w:pStyle w:val="TableContents"/>
              <w:bidi w:val="0"/>
              <w:spacing w:before="0" w:after="283"/>
              <w:jc w:val="start"/>
              <w:rPr/>
            </w:pPr>
            <w:r>
              <w:rPr/>
              <w:t xml:space="preserve">166(39. 05%) </w:t>
            </w:r>
          </w:p>
        </w:tc>
        <w:tc>
          <w:tcPr>
            <w:tcW w:w="1471" w:type="dxa"/>
            <w:tcBorders/>
            <w:vAlign w:val="center"/>
          </w:tcPr>
          <w:p>
            <w:pPr>
              <w:pStyle w:val="TableContents"/>
              <w:bidi w:val="0"/>
              <w:spacing w:before="0" w:after="283"/>
              <w:jc w:val="start"/>
              <w:rPr/>
            </w:pPr>
            <w:r>
              <w:rPr/>
              <w:t xml:space="preserve">264(31. 05%) </w:t>
            </w:r>
          </w:p>
        </w:tc>
        <w:tc>
          <w:tcPr>
            <w:tcW w:w="154" w:type="dxa"/>
            <w:tcBorders/>
          </w:tcPr>
          <w:p>
            <w:pPr>
              <w:pStyle w:val="TableContents"/>
              <w:bidi w:val="0"/>
              <w:spacing w:before="0" w:after="283"/>
              <w:jc w:val="start"/>
              <w:rPr>
                <w:sz w:val="4"/>
                <w:szCs w:val="4"/>
              </w:rPr>
            </w:pPr>
            <w:r>
              <w:rPr>
                <w:sz w:val="4"/>
                <w:szCs w:val="4"/>
              </w:rPr>
            </w:r>
          </w:p>
        </w:tc>
      </w:tr>
      <w:tr>
        <w:trPr/>
        <w:tc>
          <w:tcPr>
            <w:tcW w:w="1921" w:type="dxa"/>
            <w:tcBorders/>
            <w:vAlign w:val="center"/>
          </w:tcPr>
          <w:p>
            <w:pPr>
              <w:pStyle w:val="TableContents"/>
              <w:bidi w:val="0"/>
              <w:spacing w:before="0" w:after="283"/>
              <w:jc w:val="start"/>
              <w:rPr/>
            </w:pPr>
            <w:r>
              <w:rPr/>
              <w:t xml:space="preserve">3 – Pocket </w:t>
            </w:r>
          </w:p>
        </w:tc>
        <w:tc>
          <w:tcPr>
            <w:tcW w:w="1486" w:type="dxa"/>
            <w:tcBorders/>
            <w:vAlign w:val="center"/>
          </w:tcPr>
          <w:p>
            <w:pPr>
              <w:pStyle w:val="TableContents"/>
              <w:bidi w:val="0"/>
              <w:spacing w:before="0" w:after="283"/>
              <w:jc w:val="start"/>
              <w:rPr/>
            </w:pPr>
            <w:r>
              <w:rPr/>
              <w:t xml:space="preserve">138(32. 47%) </w:t>
            </w:r>
          </w:p>
        </w:tc>
        <w:tc>
          <w:tcPr>
            <w:tcW w:w="2026" w:type="dxa"/>
            <w:tcBorders/>
            <w:vAlign w:val="center"/>
          </w:tcPr>
          <w:p>
            <w:pPr>
              <w:pStyle w:val="TableContents"/>
              <w:bidi w:val="0"/>
              <w:spacing w:before="0" w:after="283"/>
              <w:jc w:val="start"/>
              <w:rPr/>
            </w:pPr>
            <w:r>
              <w:rPr/>
              <w:t xml:space="preserve">44(10. 36%) </w:t>
            </w:r>
          </w:p>
        </w:tc>
        <w:tc>
          <w:tcPr>
            <w:tcW w:w="1471" w:type="dxa"/>
            <w:tcBorders/>
            <w:vAlign w:val="center"/>
          </w:tcPr>
          <w:p>
            <w:pPr>
              <w:pStyle w:val="TableContents"/>
              <w:bidi w:val="0"/>
              <w:spacing w:before="0" w:after="283"/>
              <w:jc w:val="start"/>
              <w:rPr/>
            </w:pPr>
            <w:r>
              <w:rPr/>
              <w:t xml:space="preserve">182(21. 41%) </w:t>
            </w:r>
          </w:p>
        </w:tc>
        <w:tc>
          <w:tcPr>
            <w:tcW w:w="154" w:type="dxa"/>
            <w:tcBorders/>
          </w:tcPr>
          <w:p>
            <w:pPr>
              <w:pStyle w:val="TableContents"/>
              <w:bidi w:val="0"/>
              <w:spacing w:before="0" w:after="283"/>
              <w:jc w:val="start"/>
              <w:rPr>
                <w:sz w:val="4"/>
                <w:szCs w:val="4"/>
              </w:rPr>
            </w:pPr>
            <w:r>
              <w:rPr>
                <w:sz w:val="4"/>
                <w:szCs w:val="4"/>
              </w:rPr>
            </w:r>
          </w:p>
        </w:tc>
      </w:tr>
      <w:tr>
        <w:trPr/>
        <w:tc>
          <w:tcPr>
            <w:tcW w:w="1921" w:type="dxa"/>
            <w:tcBorders/>
            <w:vAlign w:val="center"/>
          </w:tcPr>
          <w:p>
            <w:pPr>
              <w:pStyle w:val="TableContents"/>
              <w:bidi w:val="0"/>
              <w:spacing w:before="0" w:after="283"/>
              <w:jc w:val="start"/>
              <w:rPr/>
            </w:pPr>
            <w:r>
              <w:rPr/>
              <w:t xml:space="preserve">4 – Pocket &gt; 6mm </w:t>
            </w:r>
          </w:p>
        </w:tc>
        <w:tc>
          <w:tcPr>
            <w:tcW w:w="1486" w:type="dxa"/>
            <w:tcBorders/>
            <w:vAlign w:val="center"/>
          </w:tcPr>
          <w:p>
            <w:pPr>
              <w:pStyle w:val="TableContents"/>
              <w:bidi w:val="0"/>
              <w:spacing w:before="0" w:after="283"/>
              <w:jc w:val="start"/>
              <w:rPr/>
            </w:pPr>
            <w:r>
              <w:rPr/>
              <w:t xml:space="preserve">61(14. 35%) </w:t>
            </w:r>
          </w:p>
        </w:tc>
        <w:tc>
          <w:tcPr>
            <w:tcW w:w="2026" w:type="dxa"/>
            <w:tcBorders/>
            <w:vAlign w:val="center"/>
          </w:tcPr>
          <w:p>
            <w:pPr>
              <w:pStyle w:val="TableContents"/>
              <w:bidi w:val="0"/>
              <w:spacing w:before="0" w:after="283"/>
              <w:jc w:val="start"/>
              <w:rPr/>
            </w:pPr>
            <w:r>
              <w:rPr/>
              <w:t xml:space="preserve">17(4. 00%) </w:t>
            </w:r>
          </w:p>
        </w:tc>
        <w:tc>
          <w:tcPr>
            <w:tcW w:w="1471" w:type="dxa"/>
            <w:tcBorders/>
            <w:vAlign w:val="center"/>
          </w:tcPr>
          <w:p>
            <w:pPr>
              <w:pStyle w:val="TableContents"/>
              <w:bidi w:val="0"/>
              <w:spacing w:before="0" w:after="283"/>
              <w:jc w:val="start"/>
              <w:rPr/>
            </w:pPr>
            <w:r>
              <w:rPr/>
              <w:t xml:space="preserve">78(9. 17%) </w:t>
            </w:r>
          </w:p>
        </w:tc>
        <w:tc>
          <w:tcPr>
            <w:tcW w:w="154" w:type="dxa"/>
            <w:tcBorders/>
          </w:tcPr>
          <w:p>
            <w:pPr>
              <w:pStyle w:val="TableContents"/>
              <w:bidi w:val="0"/>
              <w:spacing w:before="0" w:after="283"/>
              <w:jc w:val="start"/>
              <w:rPr>
                <w:sz w:val="4"/>
                <w:szCs w:val="4"/>
              </w:rPr>
            </w:pPr>
            <w:r>
              <w:rPr>
                <w:sz w:val="4"/>
                <w:szCs w:val="4"/>
              </w:rPr>
            </w:r>
          </w:p>
        </w:tc>
      </w:tr>
      <w:tr>
        <w:trPr/>
        <w:tc>
          <w:tcPr>
            <w:tcW w:w="1921" w:type="dxa"/>
            <w:tcBorders/>
            <w:vAlign w:val="center"/>
          </w:tcPr>
          <w:p>
            <w:pPr>
              <w:pStyle w:val="TableContents"/>
              <w:bidi w:val="0"/>
              <w:spacing w:before="0" w:after="283"/>
              <w:jc w:val="start"/>
              <w:rPr/>
            </w:pPr>
            <w:r>
              <w:rPr/>
              <w:t xml:space="preserve">X – excluded </w:t>
            </w:r>
          </w:p>
        </w:tc>
        <w:tc>
          <w:tcPr>
            <w:tcW w:w="1486" w:type="dxa"/>
            <w:tcBorders/>
            <w:vAlign w:val="center"/>
          </w:tcPr>
          <w:p>
            <w:pPr>
              <w:pStyle w:val="TableContents"/>
              <w:bidi w:val="0"/>
              <w:spacing w:before="0" w:after="283"/>
              <w:jc w:val="start"/>
              <w:rPr/>
            </w:pPr>
            <w:r>
              <w:rPr/>
              <w:t xml:space="preserve">0(0. 00%) </w:t>
            </w:r>
          </w:p>
        </w:tc>
        <w:tc>
          <w:tcPr>
            <w:tcW w:w="2026" w:type="dxa"/>
            <w:tcBorders/>
            <w:vAlign w:val="center"/>
          </w:tcPr>
          <w:p>
            <w:pPr>
              <w:pStyle w:val="TableContents"/>
              <w:bidi w:val="0"/>
              <w:spacing w:before="0" w:after="283"/>
              <w:jc w:val="start"/>
              <w:rPr/>
            </w:pPr>
            <w:r>
              <w:rPr/>
              <w:t xml:space="preserve">0(0. 00%) </w:t>
            </w:r>
          </w:p>
        </w:tc>
        <w:tc>
          <w:tcPr>
            <w:tcW w:w="1471" w:type="dxa"/>
            <w:tcBorders/>
            <w:vAlign w:val="center"/>
          </w:tcPr>
          <w:p>
            <w:pPr>
              <w:pStyle w:val="TableContents"/>
              <w:bidi w:val="0"/>
              <w:spacing w:before="0" w:after="283"/>
              <w:jc w:val="start"/>
              <w:rPr/>
            </w:pPr>
            <w:r>
              <w:rPr/>
              <w:t xml:space="preserve">0(0. 00%) </w:t>
            </w:r>
          </w:p>
        </w:tc>
        <w:tc>
          <w:tcPr>
            <w:tcW w:w="154" w:type="dxa"/>
            <w:tcBorders/>
          </w:tcPr>
          <w:p>
            <w:pPr>
              <w:pStyle w:val="TableContents"/>
              <w:bidi w:val="0"/>
              <w:spacing w:before="0" w:after="283"/>
              <w:jc w:val="start"/>
              <w:rPr>
                <w:sz w:val="4"/>
                <w:szCs w:val="4"/>
              </w:rPr>
            </w:pPr>
            <w:r>
              <w:rPr>
                <w:sz w:val="4"/>
                <w:szCs w:val="4"/>
              </w:rPr>
            </w:r>
          </w:p>
        </w:tc>
      </w:tr>
      <w:tr>
        <w:trPr/>
        <w:tc>
          <w:tcPr>
            <w:tcW w:w="1921" w:type="dxa"/>
            <w:tcBorders/>
            <w:vAlign w:val="center"/>
          </w:tcPr>
          <w:p>
            <w:pPr>
              <w:pStyle w:val="TableContents"/>
              <w:bidi w:val="0"/>
              <w:spacing w:before="0" w:after="283"/>
              <w:jc w:val="start"/>
              <w:rPr/>
            </w:pPr>
            <w:r>
              <w:rPr/>
              <w:t xml:space="preserve">9- not recorded </w:t>
            </w:r>
          </w:p>
        </w:tc>
        <w:tc>
          <w:tcPr>
            <w:tcW w:w="1486" w:type="dxa"/>
            <w:tcBorders/>
            <w:vAlign w:val="center"/>
          </w:tcPr>
          <w:p>
            <w:pPr>
              <w:pStyle w:val="TableContents"/>
              <w:bidi w:val="0"/>
              <w:spacing w:before="0" w:after="283"/>
              <w:jc w:val="start"/>
              <w:rPr/>
            </w:pPr>
            <w:r>
              <w:rPr/>
              <w:t xml:space="preserve">0(0. 00%) </w:t>
            </w:r>
          </w:p>
        </w:tc>
        <w:tc>
          <w:tcPr>
            <w:tcW w:w="2026" w:type="dxa"/>
            <w:tcBorders/>
            <w:vAlign w:val="center"/>
          </w:tcPr>
          <w:p>
            <w:pPr>
              <w:pStyle w:val="TableContents"/>
              <w:bidi w:val="0"/>
              <w:spacing w:before="0" w:after="283"/>
              <w:jc w:val="start"/>
              <w:rPr/>
            </w:pPr>
            <w:r>
              <w:rPr/>
              <w:t xml:space="preserve">0(0. 00%) </w:t>
            </w:r>
          </w:p>
        </w:tc>
        <w:tc>
          <w:tcPr>
            <w:tcW w:w="1471" w:type="dxa"/>
            <w:tcBorders/>
            <w:vAlign w:val="center"/>
          </w:tcPr>
          <w:p>
            <w:pPr>
              <w:pStyle w:val="TableContents"/>
              <w:bidi w:val="0"/>
              <w:spacing w:before="0" w:after="283"/>
              <w:jc w:val="start"/>
              <w:rPr/>
            </w:pPr>
            <w:r>
              <w:rPr/>
              <w:t xml:space="preserve">0(0. 00%) </w:t>
            </w:r>
          </w:p>
        </w:tc>
        <w:tc>
          <w:tcPr>
            <w:tcW w:w="154" w:type="dxa"/>
            <w:tcBorders/>
          </w:tcPr>
          <w:p>
            <w:pPr>
              <w:pStyle w:val="TableContents"/>
              <w:bidi w:val="0"/>
              <w:spacing w:before="0" w:after="283"/>
              <w:jc w:val="start"/>
              <w:rPr>
                <w:sz w:val="4"/>
                <w:szCs w:val="4"/>
              </w:rPr>
            </w:pPr>
            <w:r>
              <w:rPr>
                <w:sz w:val="4"/>
                <w:szCs w:val="4"/>
              </w:rPr>
            </w:r>
          </w:p>
        </w:tc>
      </w:tr>
      <w:tr>
        <w:trPr/>
        <w:tc>
          <w:tcPr>
            <w:tcW w:w="1921" w:type="dxa"/>
            <w:tcBorders/>
            <w:vAlign w:val="center"/>
          </w:tcPr>
          <w:p>
            <w:pPr>
              <w:pStyle w:val="TableContents"/>
              <w:bidi w:val="0"/>
              <w:spacing w:before="0" w:after="283"/>
              <w:jc w:val="start"/>
              <w:rPr/>
            </w:pPr>
            <w:r>
              <w:rPr/>
              <w:t xml:space="preserve">Total </w:t>
            </w:r>
          </w:p>
        </w:tc>
        <w:tc>
          <w:tcPr>
            <w:tcW w:w="1486" w:type="dxa"/>
            <w:tcBorders/>
            <w:vAlign w:val="center"/>
          </w:tcPr>
          <w:p>
            <w:pPr>
              <w:pStyle w:val="TableContents"/>
              <w:bidi w:val="0"/>
              <w:spacing w:before="0" w:after="283"/>
              <w:jc w:val="start"/>
              <w:rPr/>
            </w:pPr>
            <w:r>
              <w:rPr/>
              <w:t xml:space="preserve">425(100%) </w:t>
            </w:r>
          </w:p>
        </w:tc>
        <w:tc>
          <w:tcPr>
            <w:tcW w:w="2026" w:type="dxa"/>
            <w:tcBorders/>
            <w:vAlign w:val="center"/>
          </w:tcPr>
          <w:p>
            <w:pPr>
              <w:pStyle w:val="TableContents"/>
              <w:bidi w:val="0"/>
              <w:spacing w:before="0" w:after="283"/>
              <w:jc w:val="start"/>
              <w:rPr/>
            </w:pPr>
            <w:r>
              <w:rPr/>
              <w:t xml:space="preserve">425(100%) </w:t>
            </w:r>
          </w:p>
        </w:tc>
        <w:tc>
          <w:tcPr>
            <w:tcW w:w="1471" w:type="dxa"/>
            <w:tcBorders/>
            <w:vAlign w:val="center"/>
          </w:tcPr>
          <w:p>
            <w:pPr>
              <w:pStyle w:val="TableContents"/>
              <w:bidi w:val="0"/>
              <w:spacing w:before="0" w:after="283"/>
              <w:jc w:val="start"/>
              <w:rPr/>
            </w:pPr>
            <w:r>
              <w:rPr/>
              <w:t xml:space="preserve">850(100%) </w:t>
            </w:r>
          </w:p>
        </w:tc>
        <w:tc>
          <w:tcPr>
            <w:tcW w:w="154" w:type="dxa"/>
            <w:tcBorders/>
          </w:tcPr>
          <w:p>
            <w:pPr>
              <w:pStyle w:val="TableContents"/>
              <w:bidi w:val="0"/>
              <w:spacing w:before="0" w:after="283"/>
              <w:jc w:val="start"/>
              <w:rPr>
                <w:sz w:val="4"/>
                <w:szCs w:val="4"/>
              </w:rPr>
            </w:pPr>
            <w:r>
              <w:rPr>
                <w:sz w:val="4"/>
                <w:szCs w:val="4"/>
              </w:rPr>
            </w:r>
          </w:p>
        </w:tc>
      </w:tr>
      <w:tr>
        <w:trPr/>
        <w:tc>
          <w:tcPr>
            <w:tcW w:w="1921" w:type="dxa"/>
            <w:tcBorders/>
            <w:vAlign w:val="center"/>
          </w:tcPr>
          <w:p>
            <w:pPr>
              <w:pStyle w:val="TableContents"/>
              <w:bidi w:val="0"/>
              <w:spacing w:before="0" w:after="283"/>
              <w:jc w:val="start"/>
              <w:rPr>
                <w:sz w:val="4"/>
                <w:szCs w:val="4"/>
              </w:rPr>
            </w:pPr>
            <w:r>
              <w:rPr>
                <w:sz w:val="4"/>
                <w:szCs w:val="4"/>
              </w:rPr>
            </w:r>
          </w:p>
        </w:tc>
        <w:tc>
          <w:tcPr>
            <w:tcW w:w="1486" w:type="dxa"/>
            <w:tcBorders/>
            <w:vAlign w:val="center"/>
          </w:tcPr>
          <w:p>
            <w:pPr>
              <w:pStyle w:val="TableContents"/>
              <w:bidi w:val="0"/>
              <w:spacing w:before="0" w:after="283"/>
              <w:jc w:val="start"/>
              <w:rPr>
                <w:sz w:val="4"/>
                <w:szCs w:val="4"/>
              </w:rPr>
            </w:pPr>
            <w:r>
              <w:rPr>
                <w:sz w:val="4"/>
                <w:szCs w:val="4"/>
              </w:rPr>
            </w:r>
          </w:p>
        </w:tc>
        <w:tc>
          <w:tcPr>
            <w:tcW w:w="2026"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4DISTRIBUTION OF STUDY SUBJECTS ACCORDING TO LOA SCORES AMONG PREGNANT AND NONPREGNANT GROUP </w:t>
      </w:r>
    </w:p>
    <w:tbl>
      <w:tblPr>
        <w:tblW w:w="6852" w:type="dxa"/>
        <w:jc w:val="start"/>
        <w:tblInd w:w="0" w:type="dxa"/>
        <w:tblLayout w:type="fixed"/>
        <w:tblCellMar>
          <w:top w:w="28" w:type="dxa"/>
          <w:start w:w="28" w:type="dxa"/>
          <w:bottom w:w="28" w:type="dxa"/>
          <w:end w:w="28" w:type="dxa"/>
        </w:tblCellMar>
      </w:tblPr>
      <w:tblGrid>
        <w:gridCol w:w="1715"/>
        <w:gridCol w:w="1486"/>
        <w:gridCol w:w="2026"/>
        <w:gridCol w:w="1471"/>
        <w:gridCol w:w="154"/>
      </w:tblGrid>
      <w:tr>
        <w:trPr/>
        <w:tc>
          <w:tcPr>
            <w:tcW w:w="1715" w:type="dxa"/>
            <w:tcBorders/>
            <w:vAlign w:val="center"/>
          </w:tcPr>
          <w:p>
            <w:pPr>
              <w:pStyle w:val="TableContents"/>
              <w:bidi w:val="0"/>
              <w:spacing w:before="0" w:after="283"/>
              <w:jc w:val="start"/>
              <w:rPr/>
            </w:pPr>
            <w:r>
              <w:rPr/>
              <w:t xml:space="preserve">LOA- SCORE </w:t>
            </w:r>
          </w:p>
        </w:tc>
        <w:tc>
          <w:tcPr>
            <w:tcW w:w="1486" w:type="dxa"/>
            <w:tcBorders/>
            <w:vAlign w:val="center"/>
          </w:tcPr>
          <w:p>
            <w:pPr>
              <w:pStyle w:val="TableContents"/>
              <w:bidi w:val="0"/>
              <w:spacing w:before="0" w:after="283"/>
              <w:jc w:val="start"/>
              <w:rPr/>
            </w:pPr>
            <w:r>
              <w:rPr/>
              <w:t xml:space="preserve">PREGNANT </w:t>
            </w:r>
          </w:p>
        </w:tc>
        <w:tc>
          <w:tcPr>
            <w:tcW w:w="2026" w:type="dxa"/>
            <w:tcBorders/>
            <w:vAlign w:val="center"/>
          </w:tcPr>
          <w:p>
            <w:pPr>
              <w:pStyle w:val="TableContents"/>
              <w:bidi w:val="0"/>
              <w:spacing w:before="0" w:after="283"/>
              <w:jc w:val="start"/>
              <w:rPr/>
            </w:pPr>
            <w:r>
              <w:rPr/>
              <w:t xml:space="preserve">NONPREGNANT </w:t>
            </w:r>
          </w:p>
        </w:tc>
        <w:tc>
          <w:tcPr>
            <w:tcW w:w="1471" w:type="dxa"/>
            <w:tcBorders/>
            <w:vAlign w:val="center"/>
          </w:tcPr>
          <w:p>
            <w:pPr>
              <w:pStyle w:val="TableContents"/>
              <w:bidi w:val="0"/>
              <w:spacing w:before="0" w:after="283"/>
              <w:jc w:val="start"/>
              <w:rPr/>
            </w:pPr>
            <w:r>
              <w:rPr/>
              <w:t xml:space="preserve">TOTAL </w:t>
            </w:r>
          </w:p>
        </w:tc>
        <w:tc>
          <w:tcPr>
            <w:tcW w:w="154" w:type="dxa"/>
            <w:tcBorders/>
          </w:tcPr>
          <w:p>
            <w:pPr>
              <w:pStyle w:val="TableContents"/>
              <w:bidi w:val="0"/>
              <w:spacing w:before="0" w:after="283"/>
              <w:jc w:val="start"/>
              <w:rPr>
                <w:sz w:val="4"/>
                <w:szCs w:val="4"/>
              </w:rPr>
            </w:pPr>
            <w:r>
              <w:rPr>
                <w:sz w:val="4"/>
                <w:szCs w:val="4"/>
              </w:rPr>
            </w:r>
          </w:p>
        </w:tc>
      </w:tr>
      <w:tr>
        <w:trPr/>
        <w:tc>
          <w:tcPr>
            <w:tcW w:w="1715" w:type="dxa"/>
            <w:tcBorders/>
            <w:vAlign w:val="center"/>
          </w:tcPr>
          <w:p>
            <w:pPr>
              <w:pStyle w:val="TableContents"/>
              <w:numPr>
                <w:ilvl w:val="0"/>
                <w:numId w:val="5"/>
              </w:numPr>
              <w:tabs>
                <w:tab w:val="clear" w:pos="1134"/>
                <w:tab w:val="left" w:pos="709" w:leader="none"/>
              </w:tabs>
              <w:bidi w:val="0"/>
              <w:spacing w:before="0" w:after="283"/>
              <w:ind w:start="709" w:hanging="283"/>
              <w:jc w:val="start"/>
              <w:rPr/>
            </w:pPr>
            <w:r>
              <w:rPr/>
              <w:t xml:space="preserve">(0-3mm) </w:t>
            </w:r>
          </w:p>
        </w:tc>
        <w:tc>
          <w:tcPr>
            <w:tcW w:w="1486" w:type="dxa"/>
            <w:tcBorders/>
            <w:vAlign w:val="center"/>
          </w:tcPr>
          <w:p>
            <w:pPr>
              <w:pStyle w:val="TableContents"/>
              <w:bidi w:val="0"/>
              <w:spacing w:before="0" w:after="283"/>
              <w:jc w:val="start"/>
              <w:rPr/>
            </w:pPr>
            <w:r>
              <w:rPr/>
              <w:t xml:space="preserve">316(74. 35%) </w:t>
            </w:r>
          </w:p>
        </w:tc>
        <w:tc>
          <w:tcPr>
            <w:tcW w:w="2026" w:type="dxa"/>
            <w:tcBorders/>
            <w:vAlign w:val="center"/>
          </w:tcPr>
          <w:p>
            <w:pPr>
              <w:pStyle w:val="TableContents"/>
              <w:bidi w:val="0"/>
              <w:spacing w:before="0" w:after="283"/>
              <w:jc w:val="start"/>
              <w:rPr/>
            </w:pPr>
            <w:r>
              <w:rPr/>
              <w:t xml:space="preserve">382(89. 89%) </w:t>
            </w:r>
          </w:p>
        </w:tc>
        <w:tc>
          <w:tcPr>
            <w:tcW w:w="1471" w:type="dxa"/>
            <w:tcBorders/>
            <w:vAlign w:val="center"/>
          </w:tcPr>
          <w:p>
            <w:pPr>
              <w:pStyle w:val="TableContents"/>
              <w:bidi w:val="0"/>
              <w:spacing w:before="0" w:after="283"/>
              <w:jc w:val="start"/>
              <w:rPr/>
            </w:pPr>
            <w:r>
              <w:rPr/>
              <w:t xml:space="preserve">698(82. 11%) </w:t>
            </w:r>
          </w:p>
        </w:tc>
        <w:tc>
          <w:tcPr>
            <w:tcW w:w="154" w:type="dxa"/>
            <w:tcBorders/>
          </w:tcPr>
          <w:p>
            <w:pPr>
              <w:pStyle w:val="TableContents"/>
              <w:bidi w:val="0"/>
              <w:spacing w:before="0" w:after="283"/>
              <w:jc w:val="start"/>
              <w:rPr>
                <w:sz w:val="4"/>
                <w:szCs w:val="4"/>
              </w:rPr>
            </w:pPr>
            <w:r>
              <w:rPr>
                <w:sz w:val="4"/>
                <w:szCs w:val="4"/>
              </w:rPr>
            </w:r>
          </w:p>
        </w:tc>
      </w:tr>
      <w:tr>
        <w:trPr/>
        <w:tc>
          <w:tcPr>
            <w:tcW w:w="1715" w:type="dxa"/>
            <w:tcBorders/>
            <w:vAlign w:val="center"/>
          </w:tcPr>
          <w:p>
            <w:pPr>
              <w:pStyle w:val="TableContents"/>
              <w:bidi w:val="0"/>
              <w:spacing w:before="0" w:after="283"/>
              <w:jc w:val="start"/>
              <w:rPr/>
            </w:pPr>
            <w:r>
              <w:rPr/>
              <w:t xml:space="preserve">1 (4-5mm) </w:t>
            </w:r>
          </w:p>
        </w:tc>
        <w:tc>
          <w:tcPr>
            <w:tcW w:w="1486" w:type="dxa"/>
            <w:tcBorders/>
            <w:vAlign w:val="center"/>
          </w:tcPr>
          <w:p>
            <w:pPr>
              <w:pStyle w:val="TableContents"/>
              <w:bidi w:val="0"/>
              <w:spacing w:before="0" w:after="283"/>
              <w:jc w:val="start"/>
              <w:rPr/>
            </w:pPr>
            <w:r>
              <w:rPr/>
              <w:t xml:space="preserve">72(16. 94%) </w:t>
            </w:r>
          </w:p>
        </w:tc>
        <w:tc>
          <w:tcPr>
            <w:tcW w:w="2026" w:type="dxa"/>
            <w:tcBorders/>
            <w:vAlign w:val="center"/>
          </w:tcPr>
          <w:p>
            <w:pPr>
              <w:pStyle w:val="TableContents"/>
              <w:bidi w:val="0"/>
              <w:spacing w:before="0" w:after="283"/>
              <w:jc w:val="start"/>
              <w:rPr/>
            </w:pPr>
            <w:r>
              <w:rPr/>
              <w:t xml:space="preserve">34(8%) </w:t>
            </w:r>
          </w:p>
        </w:tc>
        <w:tc>
          <w:tcPr>
            <w:tcW w:w="1471" w:type="dxa"/>
            <w:tcBorders/>
            <w:vAlign w:val="center"/>
          </w:tcPr>
          <w:p>
            <w:pPr>
              <w:pStyle w:val="TableContents"/>
              <w:bidi w:val="0"/>
              <w:spacing w:before="0" w:after="283"/>
              <w:jc w:val="start"/>
              <w:rPr/>
            </w:pPr>
            <w:r>
              <w:rPr/>
              <w:t xml:space="preserve">106(12. 47%) </w:t>
            </w:r>
          </w:p>
        </w:tc>
        <w:tc>
          <w:tcPr>
            <w:tcW w:w="154" w:type="dxa"/>
            <w:tcBorders/>
          </w:tcPr>
          <w:p>
            <w:pPr>
              <w:pStyle w:val="TableContents"/>
              <w:bidi w:val="0"/>
              <w:spacing w:before="0" w:after="283"/>
              <w:jc w:val="start"/>
              <w:rPr>
                <w:sz w:val="4"/>
                <w:szCs w:val="4"/>
              </w:rPr>
            </w:pPr>
            <w:r>
              <w:rPr>
                <w:sz w:val="4"/>
                <w:szCs w:val="4"/>
              </w:rPr>
            </w:r>
          </w:p>
        </w:tc>
      </w:tr>
      <w:tr>
        <w:trPr/>
        <w:tc>
          <w:tcPr>
            <w:tcW w:w="1715" w:type="dxa"/>
            <w:tcBorders/>
            <w:vAlign w:val="center"/>
          </w:tcPr>
          <w:p>
            <w:pPr>
              <w:pStyle w:val="TableContents"/>
              <w:bidi w:val="0"/>
              <w:spacing w:before="0" w:after="283"/>
              <w:jc w:val="start"/>
              <w:rPr/>
            </w:pPr>
            <w:r>
              <w:rPr/>
              <w:t xml:space="preserve">2 (6-8mm) </w:t>
            </w:r>
          </w:p>
        </w:tc>
        <w:tc>
          <w:tcPr>
            <w:tcW w:w="1486" w:type="dxa"/>
            <w:tcBorders/>
            <w:vAlign w:val="center"/>
          </w:tcPr>
          <w:p>
            <w:pPr>
              <w:pStyle w:val="TableContents"/>
              <w:bidi w:val="0"/>
              <w:spacing w:before="0" w:after="283"/>
              <w:jc w:val="start"/>
              <w:rPr/>
            </w:pPr>
            <w:r>
              <w:rPr/>
              <w:t xml:space="preserve">37(8. 71%) </w:t>
            </w:r>
          </w:p>
        </w:tc>
        <w:tc>
          <w:tcPr>
            <w:tcW w:w="2026" w:type="dxa"/>
            <w:tcBorders/>
            <w:vAlign w:val="center"/>
          </w:tcPr>
          <w:p>
            <w:pPr>
              <w:pStyle w:val="TableContents"/>
              <w:bidi w:val="0"/>
              <w:spacing w:before="0" w:after="283"/>
              <w:jc w:val="start"/>
              <w:rPr/>
            </w:pPr>
            <w:r>
              <w:rPr/>
              <w:t xml:space="preserve">9(2. 11%) </w:t>
            </w:r>
          </w:p>
        </w:tc>
        <w:tc>
          <w:tcPr>
            <w:tcW w:w="1471" w:type="dxa"/>
            <w:tcBorders/>
            <w:vAlign w:val="center"/>
          </w:tcPr>
          <w:p>
            <w:pPr>
              <w:pStyle w:val="TableContents"/>
              <w:bidi w:val="0"/>
              <w:spacing w:before="0" w:after="283"/>
              <w:jc w:val="start"/>
              <w:rPr/>
            </w:pPr>
            <w:r>
              <w:rPr/>
              <w:t xml:space="preserve">46(5. 42%) </w:t>
            </w:r>
          </w:p>
        </w:tc>
        <w:tc>
          <w:tcPr>
            <w:tcW w:w="154" w:type="dxa"/>
            <w:tcBorders/>
          </w:tcPr>
          <w:p>
            <w:pPr>
              <w:pStyle w:val="TableContents"/>
              <w:bidi w:val="0"/>
              <w:spacing w:before="0" w:after="283"/>
              <w:jc w:val="start"/>
              <w:rPr>
                <w:sz w:val="4"/>
                <w:szCs w:val="4"/>
              </w:rPr>
            </w:pPr>
            <w:r>
              <w:rPr>
                <w:sz w:val="4"/>
                <w:szCs w:val="4"/>
              </w:rPr>
            </w:r>
          </w:p>
        </w:tc>
      </w:tr>
      <w:tr>
        <w:trPr/>
        <w:tc>
          <w:tcPr>
            <w:tcW w:w="1715" w:type="dxa"/>
            <w:tcBorders/>
            <w:vAlign w:val="center"/>
          </w:tcPr>
          <w:p>
            <w:pPr>
              <w:pStyle w:val="TableContents"/>
              <w:bidi w:val="0"/>
              <w:spacing w:before="0" w:after="283"/>
              <w:jc w:val="start"/>
              <w:rPr/>
            </w:pPr>
            <w:r>
              <w:rPr/>
              <w:t xml:space="preserve">3 (9-12mm) </w:t>
            </w:r>
          </w:p>
        </w:tc>
        <w:tc>
          <w:tcPr>
            <w:tcW w:w="1486" w:type="dxa"/>
            <w:tcBorders/>
            <w:vAlign w:val="center"/>
          </w:tcPr>
          <w:p>
            <w:pPr>
              <w:pStyle w:val="TableContents"/>
              <w:bidi w:val="0"/>
              <w:spacing w:before="0" w:after="283"/>
              <w:jc w:val="start"/>
              <w:rPr/>
            </w:pPr>
            <w:r>
              <w:rPr/>
              <w:t xml:space="preserve">0(0. 00%) </w:t>
            </w:r>
          </w:p>
        </w:tc>
        <w:tc>
          <w:tcPr>
            <w:tcW w:w="2026" w:type="dxa"/>
            <w:tcBorders/>
            <w:vAlign w:val="center"/>
          </w:tcPr>
          <w:p>
            <w:pPr>
              <w:pStyle w:val="TableContents"/>
              <w:bidi w:val="0"/>
              <w:spacing w:before="0" w:after="283"/>
              <w:jc w:val="start"/>
              <w:rPr/>
            </w:pPr>
            <w:r>
              <w:rPr/>
              <w:t xml:space="preserve">0(0. 00%) </w:t>
            </w:r>
          </w:p>
        </w:tc>
        <w:tc>
          <w:tcPr>
            <w:tcW w:w="1471" w:type="dxa"/>
            <w:tcBorders/>
            <w:vAlign w:val="center"/>
          </w:tcPr>
          <w:p>
            <w:pPr>
              <w:pStyle w:val="TableContents"/>
              <w:bidi w:val="0"/>
              <w:spacing w:before="0" w:after="283"/>
              <w:jc w:val="start"/>
              <w:rPr/>
            </w:pPr>
            <w:r>
              <w:rPr/>
              <w:t xml:space="preserve">0(0. 00%) </w:t>
            </w:r>
          </w:p>
        </w:tc>
        <w:tc>
          <w:tcPr>
            <w:tcW w:w="154" w:type="dxa"/>
            <w:tcBorders/>
          </w:tcPr>
          <w:p>
            <w:pPr>
              <w:pStyle w:val="TableContents"/>
              <w:bidi w:val="0"/>
              <w:spacing w:before="0" w:after="283"/>
              <w:jc w:val="start"/>
              <w:rPr>
                <w:sz w:val="4"/>
                <w:szCs w:val="4"/>
              </w:rPr>
            </w:pPr>
            <w:r>
              <w:rPr>
                <w:sz w:val="4"/>
                <w:szCs w:val="4"/>
              </w:rPr>
            </w:r>
          </w:p>
        </w:tc>
      </w:tr>
      <w:tr>
        <w:trPr/>
        <w:tc>
          <w:tcPr>
            <w:tcW w:w="1715" w:type="dxa"/>
            <w:tcBorders/>
            <w:vAlign w:val="center"/>
          </w:tcPr>
          <w:p>
            <w:pPr>
              <w:pStyle w:val="TableContents"/>
              <w:bidi w:val="0"/>
              <w:spacing w:before="0" w:after="283"/>
              <w:jc w:val="start"/>
              <w:rPr/>
            </w:pPr>
            <w:r>
              <w:rPr/>
              <w:t xml:space="preserve">Total </w:t>
            </w:r>
          </w:p>
        </w:tc>
        <w:tc>
          <w:tcPr>
            <w:tcW w:w="1486" w:type="dxa"/>
            <w:tcBorders/>
            <w:vAlign w:val="center"/>
          </w:tcPr>
          <w:p>
            <w:pPr>
              <w:pStyle w:val="TableContents"/>
              <w:bidi w:val="0"/>
              <w:spacing w:before="0" w:after="283"/>
              <w:jc w:val="start"/>
              <w:rPr/>
            </w:pPr>
            <w:r>
              <w:rPr/>
              <w:t xml:space="preserve">425(100%) </w:t>
            </w:r>
          </w:p>
        </w:tc>
        <w:tc>
          <w:tcPr>
            <w:tcW w:w="2026" w:type="dxa"/>
            <w:tcBorders/>
            <w:vAlign w:val="center"/>
          </w:tcPr>
          <w:p>
            <w:pPr>
              <w:pStyle w:val="TableContents"/>
              <w:bidi w:val="0"/>
              <w:spacing w:before="0" w:after="283"/>
              <w:jc w:val="start"/>
              <w:rPr/>
            </w:pPr>
            <w:r>
              <w:rPr/>
              <w:t xml:space="preserve">425(100%) </w:t>
            </w:r>
          </w:p>
        </w:tc>
        <w:tc>
          <w:tcPr>
            <w:tcW w:w="1471" w:type="dxa"/>
            <w:tcBorders/>
            <w:vAlign w:val="center"/>
          </w:tcPr>
          <w:p>
            <w:pPr>
              <w:pStyle w:val="TableContents"/>
              <w:bidi w:val="0"/>
              <w:spacing w:before="0" w:after="283"/>
              <w:jc w:val="start"/>
              <w:rPr/>
            </w:pPr>
            <w:r>
              <w:rPr/>
              <w:t xml:space="preserve">850(100%) </w:t>
            </w:r>
          </w:p>
        </w:tc>
        <w:tc>
          <w:tcPr>
            <w:tcW w:w="154" w:type="dxa"/>
            <w:tcBorders/>
          </w:tcPr>
          <w:p>
            <w:pPr>
              <w:pStyle w:val="TableContents"/>
              <w:bidi w:val="0"/>
              <w:spacing w:before="0" w:after="283"/>
              <w:jc w:val="start"/>
              <w:rPr>
                <w:sz w:val="4"/>
                <w:szCs w:val="4"/>
              </w:rPr>
            </w:pPr>
            <w:r>
              <w:rPr>
                <w:sz w:val="4"/>
                <w:szCs w:val="4"/>
              </w:rPr>
            </w:r>
          </w:p>
        </w:tc>
      </w:tr>
      <w:tr>
        <w:trPr/>
        <w:tc>
          <w:tcPr>
            <w:tcW w:w="1715" w:type="dxa"/>
            <w:tcBorders/>
            <w:vAlign w:val="center"/>
          </w:tcPr>
          <w:p>
            <w:pPr>
              <w:pStyle w:val="TableContents"/>
              <w:bidi w:val="0"/>
              <w:spacing w:before="0" w:after="283"/>
              <w:jc w:val="start"/>
              <w:rPr>
                <w:sz w:val="4"/>
                <w:szCs w:val="4"/>
              </w:rPr>
            </w:pPr>
            <w:r>
              <w:rPr>
                <w:sz w:val="4"/>
                <w:szCs w:val="4"/>
              </w:rPr>
            </w:r>
          </w:p>
        </w:tc>
        <w:tc>
          <w:tcPr>
            <w:tcW w:w="1486" w:type="dxa"/>
            <w:tcBorders/>
            <w:vAlign w:val="center"/>
          </w:tcPr>
          <w:p>
            <w:pPr>
              <w:pStyle w:val="TableContents"/>
              <w:bidi w:val="0"/>
              <w:spacing w:before="0" w:after="283"/>
              <w:jc w:val="start"/>
              <w:rPr>
                <w:sz w:val="4"/>
                <w:szCs w:val="4"/>
              </w:rPr>
            </w:pPr>
            <w:r>
              <w:rPr>
                <w:sz w:val="4"/>
                <w:szCs w:val="4"/>
              </w:rPr>
            </w:r>
          </w:p>
        </w:tc>
        <w:tc>
          <w:tcPr>
            <w:tcW w:w="2026"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5: DISTRIBUTION OF STUDY SUBJECTS ACCORDING TO SELF- REPORTED ORAL HEALTH STATUS AMONG PREGNANT AND NONPREGNANT GROUP </w:t>
      </w:r>
    </w:p>
    <w:tbl>
      <w:tblPr>
        <w:tblW w:w="6814" w:type="dxa"/>
        <w:jc w:val="start"/>
        <w:tblInd w:w="0" w:type="dxa"/>
        <w:tblLayout w:type="fixed"/>
        <w:tblCellMar>
          <w:top w:w="28" w:type="dxa"/>
          <w:start w:w="28" w:type="dxa"/>
          <w:bottom w:w="28" w:type="dxa"/>
          <w:end w:w="28" w:type="dxa"/>
        </w:tblCellMar>
      </w:tblPr>
      <w:tblGrid>
        <w:gridCol w:w="1756"/>
        <w:gridCol w:w="1576"/>
        <w:gridCol w:w="2056"/>
        <w:gridCol w:w="1426"/>
      </w:tblGrid>
      <w:tr>
        <w:trPr/>
        <w:tc>
          <w:tcPr>
            <w:tcW w:w="1756" w:type="dxa"/>
            <w:tcBorders/>
            <w:vAlign w:val="center"/>
          </w:tcPr>
          <w:p>
            <w:pPr>
              <w:pStyle w:val="TableContents"/>
              <w:bidi w:val="0"/>
              <w:spacing w:before="0" w:after="283"/>
              <w:jc w:val="start"/>
              <w:rPr/>
            </w:pPr>
            <w:r>
              <w:rPr/>
              <w:t xml:space="preserve">OHS </w:t>
            </w:r>
          </w:p>
        </w:tc>
        <w:tc>
          <w:tcPr>
            <w:tcW w:w="1576" w:type="dxa"/>
            <w:tcBorders/>
            <w:vAlign w:val="center"/>
          </w:tcPr>
          <w:p>
            <w:pPr>
              <w:pStyle w:val="TableContents"/>
              <w:bidi w:val="0"/>
              <w:spacing w:before="0" w:after="283"/>
              <w:jc w:val="start"/>
              <w:rPr/>
            </w:pPr>
            <w:r>
              <w:rPr/>
              <w:t xml:space="preserve">Pregnant (425) </w:t>
            </w:r>
          </w:p>
        </w:tc>
        <w:tc>
          <w:tcPr>
            <w:tcW w:w="2056" w:type="dxa"/>
            <w:tcBorders/>
            <w:vAlign w:val="center"/>
          </w:tcPr>
          <w:p>
            <w:pPr>
              <w:pStyle w:val="TableContents"/>
              <w:bidi w:val="0"/>
              <w:spacing w:before="0" w:after="283"/>
              <w:jc w:val="start"/>
              <w:rPr/>
            </w:pPr>
            <w:r>
              <w:rPr/>
              <w:t xml:space="preserve">Non-pregnant (425) </w:t>
            </w:r>
          </w:p>
        </w:tc>
        <w:tc>
          <w:tcPr>
            <w:tcW w:w="1426" w:type="dxa"/>
            <w:tcBorders/>
            <w:vAlign w:val="center"/>
          </w:tcPr>
          <w:p>
            <w:pPr>
              <w:pStyle w:val="TableContents"/>
              <w:bidi w:val="0"/>
              <w:spacing w:before="0" w:after="283"/>
              <w:jc w:val="start"/>
              <w:rPr/>
            </w:pPr>
            <w:r>
              <w:rPr/>
              <w:t xml:space="preserve">Total(850) </w:t>
            </w:r>
          </w:p>
        </w:tc>
      </w:tr>
      <w:tr>
        <w:trPr/>
        <w:tc>
          <w:tcPr>
            <w:tcW w:w="1756" w:type="dxa"/>
            <w:tcBorders/>
            <w:vAlign w:val="center"/>
          </w:tcPr>
          <w:p>
            <w:pPr>
              <w:pStyle w:val="TableContents"/>
              <w:bidi w:val="0"/>
              <w:spacing w:before="0" w:after="283"/>
              <w:jc w:val="start"/>
              <w:rPr/>
            </w:pPr>
            <w:r>
              <w:rPr/>
              <w:t xml:space="preserve">Variable </w:t>
            </w:r>
          </w:p>
        </w:tc>
        <w:tc>
          <w:tcPr>
            <w:tcW w:w="1576" w:type="dxa"/>
            <w:tcBorders/>
            <w:vAlign w:val="center"/>
          </w:tcPr>
          <w:p>
            <w:pPr>
              <w:pStyle w:val="TableContents"/>
              <w:bidi w:val="0"/>
              <w:spacing w:before="0" w:after="283"/>
              <w:jc w:val="start"/>
              <w:rPr/>
            </w:pPr>
            <w:r>
              <w:rPr/>
              <w:t xml:space="preserve">Mean </w:t>
            </w:r>
          </w:p>
        </w:tc>
        <w:tc>
          <w:tcPr>
            <w:tcW w:w="2056" w:type="dxa"/>
            <w:tcBorders/>
            <w:vAlign w:val="center"/>
          </w:tcPr>
          <w:p>
            <w:pPr>
              <w:pStyle w:val="TableContents"/>
              <w:bidi w:val="0"/>
              <w:spacing w:before="0" w:after="283"/>
              <w:jc w:val="start"/>
              <w:rPr/>
            </w:pPr>
            <w:r>
              <w:rPr/>
              <w:t xml:space="preserve">Mean </w:t>
            </w:r>
          </w:p>
        </w:tc>
        <w:tc>
          <w:tcPr>
            <w:tcW w:w="1426" w:type="dxa"/>
            <w:tcBorders/>
            <w:vAlign w:val="center"/>
          </w:tcPr>
          <w:p>
            <w:pPr>
              <w:pStyle w:val="TableContents"/>
              <w:bidi w:val="0"/>
              <w:spacing w:before="0" w:after="283"/>
              <w:jc w:val="start"/>
              <w:rPr/>
            </w:pPr>
            <w:r>
              <w:rPr/>
              <w:t xml:space="preserve">Mean </w:t>
            </w:r>
          </w:p>
        </w:tc>
      </w:tr>
      <w:tr>
        <w:trPr/>
        <w:tc>
          <w:tcPr>
            <w:tcW w:w="1756" w:type="dxa"/>
            <w:tcBorders/>
            <w:vAlign w:val="center"/>
          </w:tcPr>
          <w:p>
            <w:pPr>
              <w:pStyle w:val="TableContents"/>
              <w:bidi w:val="0"/>
              <w:spacing w:before="0" w:after="283"/>
              <w:jc w:val="start"/>
              <w:rPr/>
            </w:pPr>
            <w:r>
              <w:rPr/>
              <w:t xml:space="preserve">Bleeding gums </w:t>
            </w:r>
          </w:p>
        </w:tc>
        <w:tc>
          <w:tcPr>
            <w:tcW w:w="1576" w:type="dxa"/>
            <w:tcBorders/>
            <w:vAlign w:val="center"/>
          </w:tcPr>
          <w:p>
            <w:pPr>
              <w:pStyle w:val="TableContents"/>
              <w:bidi w:val="0"/>
              <w:spacing w:before="0" w:after="283"/>
              <w:jc w:val="start"/>
              <w:rPr/>
            </w:pPr>
            <w:r>
              <w:rPr/>
              <w:t xml:space="preserve">61. 58±5. 49 </w:t>
            </w:r>
          </w:p>
        </w:tc>
        <w:tc>
          <w:tcPr>
            <w:tcW w:w="2056" w:type="dxa"/>
            <w:tcBorders/>
            <w:vAlign w:val="center"/>
          </w:tcPr>
          <w:p>
            <w:pPr>
              <w:pStyle w:val="TableContents"/>
              <w:bidi w:val="0"/>
              <w:spacing w:before="0" w:after="283"/>
              <w:jc w:val="start"/>
              <w:rPr/>
            </w:pPr>
            <w:r>
              <w:rPr/>
              <w:t xml:space="preserve">64. 58±5. 03 </w:t>
            </w:r>
          </w:p>
        </w:tc>
        <w:tc>
          <w:tcPr>
            <w:tcW w:w="1426" w:type="dxa"/>
            <w:tcBorders/>
            <w:vAlign w:val="center"/>
          </w:tcPr>
          <w:p>
            <w:pPr>
              <w:pStyle w:val="TableContents"/>
              <w:bidi w:val="0"/>
              <w:spacing w:before="0" w:after="283"/>
              <w:jc w:val="start"/>
              <w:rPr/>
            </w:pPr>
            <w:r>
              <w:rPr/>
              <w:t xml:space="preserve">63. 08±5. 26 </w:t>
            </w:r>
          </w:p>
        </w:tc>
      </w:tr>
      <w:tr>
        <w:trPr/>
        <w:tc>
          <w:tcPr>
            <w:tcW w:w="1756" w:type="dxa"/>
            <w:tcBorders/>
            <w:vAlign w:val="center"/>
          </w:tcPr>
          <w:p>
            <w:pPr>
              <w:pStyle w:val="TableContents"/>
              <w:bidi w:val="0"/>
              <w:spacing w:before="0" w:after="283"/>
              <w:jc w:val="start"/>
              <w:rPr/>
            </w:pPr>
            <w:r>
              <w:rPr/>
              <w:t xml:space="preserve">Burning Gums </w:t>
            </w:r>
          </w:p>
        </w:tc>
        <w:tc>
          <w:tcPr>
            <w:tcW w:w="1576" w:type="dxa"/>
            <w:tcBorders/>
            <w:vAlign w:val="center"/>
          </w:tcPr>
          <w:p>
            <w:pPr>
              <w:pStyle w:val="TableContents"/>
              <w:bidi w:val="0"/>
              <w:spacing w:before="0" w:after="283"/>
              <w:jc w:val="start"/>
              <w:rPr/>
            </w:pPr>
            <w:r>
              <w:rPr/>
              <w:t xml:space="preserve">62. 59±5. 64 </w:t>
            </w:r>
          </w:p>
        </w:tc>
        <w:tc>
          <w:tcPr>
            <w:tcW w:w="2056" w:type="dxa"/>
            <w:tcBorders/>
            <w:vAlign w:val="center"/>
          </w:tcPr>
          <w:p>
            <w:pPr>
              <w:pStyle w:val="TableContents"/>
              <w:bidi w:val="0"/>
              <w:spacing w:before="0" w:after="283"/>
              <w:jc w:val="start"/>
              <w:rPr/>
            </w:pPr>
            <w:r>
              <w:rPr/>
              <w:t xml:space="preserve">65. 81±5. 36 </w:t>
            </w:r>
          </w:p>
        </w:tc>
        <w:tc>
          <w:tcPr>
            <w:tcW w:w="1426" w:type="dxa"/>
            <w:tcBorders/>
            <w:vAlign w:val="center"/>
          </w:tcPr>
          <w:p>
            <w:pPr>
              <w:pStyle w:val="TableContents"/>
              <w:bidi w:val="0"/>
              <w:spacing w:before="0" w:after="283"/>
              <w:jc w:val="start"/>
              <w:rPr/>
            </w:pPr>
            <w:r>
              <w:rPr/>
              <w:t xml:space="preserve">64. 20±5. 50 </w:t>
            </w:r>
          </w:p>
        </w:tc>
      </w:tr>
      <w:tr>
        <w:trPr/>
        <w:tc>
          <w:tcPr>
            <w:tcW w:w="1756" w:type="dxa"/>
            <w:tcBorders/>
            <w:vAlign w:val="center"/>
          </w:tcPr>
          <w:p>
            <w:pPr>
              <w:pStyle w:val="TableContents"/>
              <w:bidi w:val="0"/>
              <w:spacing w:before="0" w:after="283"/>
              <w:jc w:val="start"/>
              <w:rPr/>
            </w:pPr>
            <w:r>
              <w:rPr/>
              <w:t xml:space="preserve">Tooth sensitivity </w:t>
            </w:r>
          </w:p>
        </w:tc>
        <w:tc>
          <w:tcPr>
            <w:tcW w:w="1576" w:type="dxa"/>
            <w:tcBorders/>
            <w:vAlign w:val="center"/>
          </w:tcPr>
          <w:p>
            <w:pPr>
              <w:pStyle w:val="TableContents"/>
              <w:bidi w:val="0"/>
              <w:spacing w:before="0" w:after="283"/>
              <w:jc w:val="start"/>
              <w:rPr/>
            </w:pPr>
            <w:r>
              <w:rPr/>
              <w:t xml:space="preserve">54. 62±4. 77 </w:t>
            </w:r>
          </w:p>
        </w:tc>
        <w:tc>
          <w:tcPr>
            <w:tcW w:w="2056" w:type="dxa"/>
            <w:tcBorders/>
            <w:vAlign w:val="center"/>
          </w:tcPr>
          <w:p>
            <w:pPr>
              <w:pStyle w:val="TableContents"/>
              <w:bidi w:val="0"/>
              <w:spacing w:before="0" w:after="283"/>
              <w:jc w:val="start"/>
              <w:rPr/>
            </w:pPr>
            <w:r>
              <w:rPr/>
              <w:t xml:space="preserve">58. 25±1. 25 </w:t>
            </w:r>
          </w:p>
        </w:tc>
        <w:tc>
          <w:tcPr>
            <w:tcW w:w="1426" w:type="dxa"/>
            <w:tcBorders/>
            <w:vAlign w:val="center"/>
          </w:tcPr>
          <w:p>
            <w:pPr>
              <w:pStyle w:val="TableContents"/>
              <w:bidi w:val="0"/>
              <w:spacing w:before="0" w:after="283"/>
              <w:jc w:val="start"/>
              <w:rPr/>
            </w:pPr>
            <w:r>
              <w:rPr/>
              <w:t xml:space="preserve">56. 43±3. 01 </w:t>
            </w:r>
          </w:p>
        </w:tc>
      </w:tr>
      <w:tr>
        <w:trPr/>
        <w:tc>
          <w:tcPr>
            <w:tcW w:w="1756" w:type="dxa"/>
            <w:tcBorders/>
            <w:vAlign w:val="center"/>
          </w:tcPr>
          <w:p>
            <w:pPr>
              <w:pStyle w:val="TableContents"/>
              <w:bidi w:val="0"/>
              <w:spacing w:before="0" w:after="283"/>
              <w:jc w:val="start"/>
              <w:rPr/>
            </w:pPr>
            <w:r>
              <w:rPr/>
              <w:t xml:space="preserve">Swollen Gums </w:t>
            </w:r>
          </w:p>
        </w:tc>
        <w:tc>
          <w:tcPr>
            <w:tcW w:w="1576" w:type="dxa"/>
            <w:tcBorders/>
            <w:vAlign w:val="center"/>
          </w:tcPr>
          <w:p>
            <w:pPr>
              <w:pStyle w:val="TableContents"/>
              <w:bidi w:val="0"/>
              <w:spacing w:before="0" w:after="283"/>
              <w:jc w:val="start"/>
              <w:rPr/>
            </w:pPr>
            <w:r>
              <w:rPr/>
              <w:t xml:space="preserve">60. 55±6. 02 </w:t>
            </w:r>
          </w:p>
        </w:tc>
        <w:tc>
          <w:tcPr>
            <w:tcW w:w="2056" w:type="dxa"/>
            <w:tcBorders/>
            <w:vAlign w:val="center"/>
          </w:tcPr>
          <w:p>
            <w:pPr>
              <w:pStyle w:val="TableContents"/>
              <w:bidi w:val="0"/>
              <w:spacing w:before="0" w:after="283"/>
              <w:jc w:val="start"/>
              <w:rPr/>
            </w:pPr>
            <w:r>
              <w:rPr/>
              <w:t xml:space="preserve">60. 54±5. 48 </w:t>
            </w:r>
          </w:p>
        </w:tc>
        <w:tc>
          <w:tcPr>
            <w:tcW w:w="1426" w:type="dxa"/>
            <w:tcBorders/>
            <w:vAlign w:val="center"/>
          </w:tcPr>
          <w:p>
            <w:pPr>
              <w:pStyle w:val="TableContents"/>
              <w:bidi w:val="0"/>
              <w:spacing w:before="0" w:after="283"/>
              <w:jc w:val="start"/>
              <w:rPr/>
            </w:pPr>
            <w:r>
              <w:rPr/>
              <w:t xml:space="preserve">60. 54±5. 75 </w:t>
            </w:r>
          </w:p>
        </w:tc>
      </w:tr>
      <w:tr>
        <w:trPr/>
        <w:tc>
          <w:tcPr>
            <w:tcW w:w="1756" w:type="dxa"/>
            <w:tcBorders/>
            <w:vAlign w:val="center"/>
          </w:tcPr>
          <w:p>
            <w:pPr>
              <w:pStyle w:val="TableContents"/>
              <w:bidi w:val="0"/>
              <w:spacing w:before="0" w:after="283"/>
              <w:jc w:val="start"/>
              <w:rPr/>
            </w:pPr>
            <w:r>
              <w:rPr/>
              <w:t xml:space="preserve">Loose Teeth </w:t>
            </w:r>
          </w:p>
        </w:tc>
        <w:tc>
          <w:tcPr>
            <w:tcW w:w="1576" w:type="dxa"/>
            <w:tcBorders/>
            <w:vAlign w:val="center"/>
          </w:tcPr>
          <w:p>
            <w:pPr>
              <w:pStyle w:val="TableContents"/>
              <w:bidi w:val="0"/>
              <w:spacing w:before="0" w:after="283"/>
              <w:jc w:val="start"/>
              <w:rPr/>
            </w:pPr>
            <w:r>
              <w:rPr/>
              <w:t xml:space="preserve">56. 28±6. 99 </w:t>
            </w:r>
          </w:p>
        </w:tc>
        <w:tc>
          <w:tcPr>
            <w:tcW w:w="2056" w:type="dxa"/>
            <w:tcBorders/>
            <w:vAlign w:val="center"/>
          </w:tcPr>
          <w:p>
            <w:pPr>
              <w:pStyle w:val="TableContents"/>
              <w:bidi w:val="0"/>
              <w:spacing w:before="0" w:after="283"/>
              <w:jc w:val="start"/>
              <w:rPr/>
            </w:pPr>
            <w:r>
              <w:rPr/>
              <w:t xml:space="preserve">58. 60±2. 40 </w:t>
            </w:r>
          </w:p>
        </w:tc>
        <w:tc>
          <w:tcPr>
            <w:tcW w:w="1426" w:type="dxa"/>
            <w:tcBorders/>
            <w:vAlign w:val="center"/>
          </w:tcPr>
          <w:p>
            <w:pPr>
              <w:pStyle w:val="TableContents"/>
              <w:bidi w:val="0"/>
              <w:spacing w:before="0" w:after="283"/>
              <w:jc w:val="start"/>
              <w:rPr/>
            </w:pPr>
            <w:r>
              <w:rPr/>
              <w:t xml:space="preserve">57. 44±4. 70 </w:t>
            </w:r>
          </w:p>
        </w:tc>
      </w:tr>
      <w:tr>
        <w:trPr/>
        <w:tc>
          <w:tcPr>
            <w:tcW w:w="1756" w:type="dxa"/>
            <w:tcBorders/>
            <w:vAlign w:val="center"/>
          </w:tcPr>
          <w:p>
            <w:pPr>
              <w:pStyle w:val="TableContents"/>
              <w:bidi w:val="0"/>
              <w:spacing w:before="0" w:after="283"/>
              <w:jc w:val="start"/>
              <w:rPr/>
            </w:pPr>
            <w:r>
              <w:rPr/>
              <w:t xml:space="preserve">Decayed Teeth </w:t>
            </w:r>
          </w:p>
        </w:tc>
        <w:tc>
          <w:tcPr>
            <w:tcW w:w="1576" w:type="dxa"/>
            <w:tcBorders/>
            <w:vAlign w:val="center"/>
          </w:tcPr>
          <w:p>
            <w:pPr>
              <w:pStyle w:val="TableContents"/>
              <w:bidi w:val="0"/>
              <w:spacing w:before="0" w:after="283"/>
              <w:jc w:val="start"/>
              <w:rPr/>
            </w:pPr>
            <w:r>
              <w:rPr/>
              <w:t xml:space="preserve">64. 38±5. 59 </w:t>
            </w:r>
          </w:p>
        </w:tc>
        <w:tc>
          <w:tcPr>
            <w:tcW w:w="2056" w:type="dxa"/>
            <w:tcBorders/>
            <w:vAlign w:val="center"/>
          </w:tcPr>
          <w:p>
            <w:pPr>
              <w:pStyle w:val="TableContents"/>
              <w:bidi w:val="0"/>
              <w:spacing w:before="0" w:after="283"/>
              <w:jc w:val="start"/>
              <w:rPr/>
            </w:pPr>
            <w:r>
              <w:rPr/>
              <w:t xml:space="preserve">64. 52±5. 88 </w:t>
            </w:r>
          </w:p>
        </w:tc>
        <w:tc>
          <w:tcPr>
            <w:tcW w:w="1426" w:type="dxa"/>
            <w:tcBorders/>
            <w:vAlign w:val="center"/>
          </w:tcPr>
          <w:p>
            <w:pPr>
              <w:pStyle w:val="TableContents"/>
              <w:bidi w:val="0"/>
              <w:spacing w:before="0" w:after="283"/>
              <w:jc w:val="start"/>
              <w:rPr/>
            </w:pPr>
            <w:r>
              <w:rPr/>
              <w:t xml:space="preserve">64. 45±5. 73 </w:t>
            </w:r>
          </w:p>
        </w:tc>
      </w:tr>
      <w:tr>
        <w:trPr/>
        <w:tc>
          <w:tcPr>
            <w:tcW w:w="1756" w:type="dxa"/>
            <w:tcBorders/>
            <w:vAlign w:val="center"/>
          </w:tcPr>
          <w:p>
            <w:pPr>
              <w:pStyle w:val="TableContents"/>
              <w:bidi w:val="0"/>
              <w:jc w:val="start"/>
              <w:rPr/>
            </w:pPr>
            <w:r>
              <w:rPr/>
              <w:t xml:space="preserve">Tooth </w:t>
            </w:r>
          </w:p>
          <w:p>
            <w:pPr>
              <w:pStyle w:val="TableContents"/>
              <w:bidi w:val="0"/>
              <w:spacing w:before="0" w:after="283"/>
              <w:jc w:val="start"/>
              <w:rPr/>
            </w:pPr>
            <w:r>
              <w:rPr/>
              <w:t xml:space="preserve">Pain </w:t>
            </w:r>
          </w:p>
        </w:tc>
        <w:tc>
          <w:tcPr>
            <w:tcW w:w="1576" w:type="dxa"/>
            <w:tcBorders/>
            <w:vAlign w:val="center"/>
          </w:tcPr>
          <w:p>
            <w:pPr>
              <w:pStyle w:val="TableContents"/>
              <w:bidi w:val="0"/>
              <w:spacing w:before="0" w:after="283"/>
              <w:jc w:val="start"/>
              <w:rPr/>
            </w:pPr>
            <w:r>
              <w:rPr/>
              <w:t xml:space="preserve">59. 81±6. 63 </w:t>
            </w:r>
          </w:p>
        </w:tc>
        <w:tc>
          <w:tcPr>
            <w:tcW w:w="2056" w:type="dxa"/>
            <w:tcBorders/>
            <w:vAlign w:val="center"/>
          </w:tcPr>
          <w:p>
            <w:pPr>
              <w:pStyle w:val="TableContents"/>
              <w:bidi w:val="0"/>
              <w:spacing w:before="0" w:after="283"/>
              <w:jc w:val="start"/>
              <w:rPr/>
            </w:pPr>
            <w:r>
              <w:rPr/>
              <w:t xml:space="preserve">59. 76±5. 67 </w:t>
            </w:r>
          </w:p>
        </w:tc>
        <w:tc>
          <w:tcPr>
            <w:tcW w:w="1426" w:type="dxa"/>
            <w:tcBorders/>
            <w:vAlign w:val="center"/>
          </w:tcPr>
          <w:p>
            <w:pPr>
              <w:pStyle w:val="TableContents"/>
              <w:bidi w:val="0"/>
              <w:spacing w:before="0" w:after="283"/>
              <w:jc w:val="start"/>
              <w:rPr/>
            </w:pPr>
            <w:r>
              <w:rPr/>
              <w:t xml:space="preserve">59. 78±6. 15 </w:t>
            </w:r>
          </w:p>
        </w:tc>
      </w:tr>
      <w:tr>
        <w:trPr/>
        <w:tc>
          <w:tcPr>
            <w:tcW w:w="1756" w:type="dxa"/>
            <w:tcBorders/>
            <w:vAlign w:val="center"/>
          </w:tcPr>
          <w:p>
            <w:pPr>
              <w:pStyle w:val="TableContents"/>
              <w:bidi w:val="0"/>
              <w:spacing w:before="0" w:after="283"/>
              <w:jc w:val="start"/>
              <w:rPr/>
            </w:pPr>
            <w:r>
              <w:rPr/>
              <w:t xml:space="preserve">Food Lodgment </w:t>
            </w:r>
          </w:p>
        </w:tc>
        <w:tc>
          <w:tcPr>
            <w:tcW w:w="1576" w:type="dxa"/>
            <w:tcBorders/>
            <w:vAlign w:val="center"/>
          </w:tcPr>
          <w:p>
            <w:pPr>
              <w:pStyle w:val="TableContents"/>
              <w:bidi w:val="0"/>
              <w:spacing w:before="0" w:after="283"/>
              <w:jc w:val="start"/>
              <w:rPr/>
            </w:pPr>
            <w:r>
              <w:rPr/>
              <w:t xml:space="preserve">61. 21±4. 82 </w:t>
            </w:r>
          </w:p>
        </w:tc>
        <w:tc>
          <w:tcPr>
            <w:tcW w:w="2056" w:type="dxa"/>
            <w:tcBorders/>
            <w:vAlign w:val="center"/>
          </w:tcPr>
          <w:p>
            <w:pPr>
              <w:pStyle w:val="TableContents"/>
              <w:bidi w:val="0"/>
              <w:spacing w:before="0" w:after="283"/>
              <w:jc w:val="start"/>
              <w:rPr/>
            </w:pPr>
            <w:r>
              <w:rPr/>
              <w:t xml:space="preserve">61. 46±6. 22 </w:t>
            </w:r>
          </w:p>
        </w:tc>
        <w:tc>
          <w:tcPr>
            <w:tcW w:w="1426" w:type="dxa"/>
            <w:tcBorders/>
            <w:vAlign w:val="center"/>
          </w:tcPr>
          <w:p>
            <w:pPr>
              <w:pStyle w:val="TableContents"/>
              <w:bidi w:val="0"/>
              <w:spacing w:before="0" w:after="283"/>
              <w:jc w:val="start"/>
              <w:rPr/>
            </w:pPr>
            <w:r>
              <w:rPr/>
              <w:t xml:space="preserve">61. 33±5. 52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In our study, out of the total study population of 850 pregnant and nonpregnant women, 359(42. 23%) women were below the age of 30 years, which was in accordance to the studies conducted by Ingrida Vasiliauskiene et al </w:t>
      </w:r>
      <w:r>
        <w:rPr>
          <w:position w:val="8"/>
          <w:sz w:val="19"/>
        </w:rPr>
        <w:t xml:space="preserve">7 </w:t>
      </w:r>
      <w:r>
        <w:rPr/>
        <w:t xml:space="preserve">and Gaffeid M et al </w:t>
      </w:r>
      <w:r>
        <w:rPr>
          <w:position w:val="8"/>
          <w:sz w:val="19"/>
        </w:rPr>
        <w:t xml:space="preserve">8 </w:t>
      </w:r>
      <w:r>
        <w:rPr/>
        <w:t xml:space="preserve">. On the contrary, in the study conducted by Nuamah and Annan </w:t>
      </w:r>
      <w:r>
        <w:rPr>
          <w:position w:val="8"/>
          <w:sz w:val="19"/>
        </w:rPr>
        <w:t xml:space="preserve">9 </w:t>
      </w:r>
      <w:r>
        <w:rPr/>
        <w:t xml:space="preserve">20% of pregnant women and 21. 4% of nonpregnant group belonged to the age group of 30-35 years. </w:t>
      </w:r>
    </w:p>
    <w:p>
      <w:pPr>
        <w:pStyle w:val="TextBody"/>
        <w:bidi w:val="0"/>
        <w:spacing w:before="0" w:after="283"/>
        <w:jc w:val="start"/>
        <w:rPr/>
      </w:pPr>
      <w:r>
        <w:rPr/>
        <w:t xml:space="preserve">In the present study, among the total study population, 29. 30±3. 30 was the mean age. The results of our study were similar to the study conducted by Machuca et al </w:t>
      </w:r>
      <w:r>
        <w:rPr>
          <w:position w:val="8"/>
          <w:sz w:val="19"/>
        </w:rPr>
        <w:t xml:space="preserve">10 </w:t>
      </w:r>
      <w:r>
        <w:rPr/>
        <w:t xml:space="preserve">, in which the mean age was 30. 1±1. 90. On the contrary, studies conducted by Yalcin et al </w:t>
      </w:r>
      <w:r>
        <w:rPr>
          <w:position w:val="8"/>
          <w:sz w:val="19"/>
        </w:rPr>
        <w:t xml:space="preserve">11 </w:t>
      </w:r>
      <w:r>
        <w:rPr/>
        <w:t xml:space="preserve">and Tilakarante et al </w:t>
      </w:r>
      <w:r>
        <w:rPr>
          <w:position w:val="8"/>
          <w:sz w:val="19"/>
        </w:rPr>
        <w:t xml:space="preserve">12 </w:t>
      </w:r>
      <w:r>
        <w:rPr/>
        <w:t xml:space="preserve">showed the mean age pattern of 18. 62±3. 01 and 19±2. 90 respectively. Among pregnant population 204(48%) had poor oral hygiene. On the contrary, in the study conducted by Santosh Kumar et al </w:t>
      </w:r>
      <w:r>
        <w:rPr>
          <w:position w:val="8"/>
          <w:sz w:val="19"/>
        </w:rPr>
        <w:t xml:space="preserve">13 </w:t>
      </w:r>
      <w:r>
        <w:rPr/>
        <w:t xml:space="preserve">among total study population only 25% had poor oral hygiene. In our study, among the total study subjects, mean OHI-S score was 2. 65±0. 85. On the contrary, in the study conducted by Ingrida Vasiliauskiene et al </w:t>
      </w:r>
      <w:r>
        <w:rPr>
          <w:position w:val="8"/>
          <w:sz w:val="19"/>
        </w:rPr>
        <w:t xml:space="preserve">7 </w:t>
      </w:r>
      <w:r>
        <w:rPr/>
        <w:t xml:space="preserve">mean OHI-S score among total study subjects was 1. 79±1. 13. The reason behind this is that during pregnancy, gums are more susceptible to the damaging effects of plaque, gingiva become more edematous and fragile due to which during brushing it bleeds quickly. The problem is compounded if women have morning sickness – nausea and vomiting which make it hard to brush teeth regularly resulting in more plaque accumulation. Among pregnant group, about half of the total study subjects i. e 46. 58% had moderate gingivitis. Results of our study were similar to the studies conducted by Yalcin et al </w:t>
      </w:r>
      <w:r>
        <w:rPr>
          <w:position w:val="8"/>
          <w:sz w:val="19"/>
        </w:rPr>
        <w:t xml:space="preserve">11 </w:t>
      </w:r>
      <w:r>
        <w:rPr/>
        <w:t xml:space="preserve">and Tilakarante et al </w:t>
      </w:r>
      <w:r>
        <w:rPr>
          <w:position w:val="8"/>
          <w:sz w:val="19"/>
        </w:rPr>
        <w:t xml:space="preserve">12 </w:t>
      </w:r>
      <w:r>
        <w:rPr/>
        <w:t xml:space="preserve">. In our study, among the total study subjects, it was found that 98(11. 52%) had healthy periodontium On the contrary, studies conducted by Santosh Kumar et al </w:t>
      </w:r>
      <w:r>
        <w:rPr>
          <w:position w:val="8"/>
          <w:sz w:val="19"/>
        </w:rPr>
        <w:t xml:space="preserve">13 </w:t>
      </w:r>
      <w:r>
        <w:rPr/>
        <w:t xml:space="preserve">and Ingrida Vasiliauskiene et al </w:t>
      </w:r>
      <w:r>
        <w:rPr>
          <w:position w:val="8"/>
          <w:sz w:val="19"/>
        </w:rPr>
        <w:t xml:space="preserve">7 </w:t>
      </w:r>
      <w:r>
        <w:rPr/>
        <w:t xml:space="preserve">found that approximately half of the total study population i. e 49. 8% had healthy periodontium whereas, among pregnant group 36. 6% and among nonpregnant group 61% had healthy periodontium. While the study conducted by Miyazaki et al </w:t>
      </w:r>
      <w:r>
        <w:rPr>
          <w:position w:val="8"/>
          <w:sz w:val="19"/>
        </w:rPr>
        <w:t xml:space="preserve">14 </w:t>
      </w:r>
      <w:r>
        <w:rPr/>
        <w:t xml:space="preserve">stated that 82% of the pregnant study population had 4 or 5mm pocket which is much higher in comparison to our study. </w:t>
      </w:r>
    </w:p>
    <w:p>
      <w:pPr>
        <w:pStyle w:val="TextBody"/>
        <w:bidi w:val="0"/>
        <w:spacing w:before="0" w:after="283"/>
        <w:jc w:val="start"/>
        <w:rPr/>
      </w:pPr>
      <w:r>
        <w:rPr/>
        <w:t xml:space="preserve">In our study, the mean scores among pregnant group and non pregnant group was 64. 38±5. 59 for decayed teeth and 65. 81±5. 36 for burning gums respectively. No earlier studies have been carried out that show distribution of study subjects according to self- reported oral health status among pregnant and non pregnant groups. </w:t>
      </w:r>
    </w:p>
    <w:p>
      <w:pPr>
        <w:pStyle w:val="TextBody"/>
        <w:bidi w:val="0"/>
        <w:spacing w:before="0" w:after="283"/>
        <w:jc w:val="start"/>
        <w:rPr/>
      </w:pPr>
      <w:r>
        <w:rPr/>
        <w:t xml:space="preserve">In conclusion, results of the study showed that oral health status among pregnant and nonpregnant group of Agra city was not good. The study also drew attention towards the need for highlighting the importance of maintaining oral health during pregnancy. Regular dental care is a key component to good oral and general health. It can be stated that there is a need for the health care professionals to acknowledge the importance of good oral health in ensuring a safe and successful pregnancy and overcome misconceptions regarding rendering of essential dental care during this vital period in a woman’s life. </w:t>
      </w:r>
    </w:p>
    <w:p>
      <w:pPr>
        <w:pStyle w:val="TextBody"/>
        <w:bidi w:val="0"/>
        <w:spacing w:before="0" w:after="283"/>
        <w:jc w:val="start"/>
        <w:rPr/>
      </w:pPr>
      <w:r>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Shashidhar Acharya and Parvati V. Bhat. Oral health related quality of life during pregnancy. </w:t>
      </w:r>
      <w:r>
        <w:rPr>
          <w:rStyle w:val="Emphasis"/>
        </w:rPr>
        <w:t xml:space="preserve">American Association of Public Health Dentistry 2009; 69: 7477. </w:t>
      </w:r>
    </w:p>
    <w:p>
      <w:pPr>
        <w:pStyle w:val="TextBody"/>
        <w:numPr>
          <w:ilvl w:val="0"/>
          <w:numId w:val="7"/>
        </w:numPr>
        <w:tabs>
          <w:tab w:val="clear" w:pos="1134"/>
          <w:tab w:val="left" w:pos="709" w:leader="none"/>
        </w:tabs>
        <w:bidi w:val="0"/>
        <w:spacing w:before="0" w:after="0"/>
        <w:ind w:start="709" w:hanging="283"/>
        <w:jc w:val="start"/>
        <w:rPr/>
      </w:pPr>
      <w:r>
        <w:rPr/>
        <w:t xml:space="preserve">Tracy M. Dellinger and H. Mark Livingston. Pregnancy: physiologic changes and considerations for dental patients. </w:t>
      </w:r>
      <w:r>
        <w:rPr>
          <w:rStyle w:val="Emphasis"/>
        </w:rPr>
        <w:t xml:space="preserve">British Journal of Obstetric and Gynaecology 2006; 5: 677-697. </w:t>
      </w:r>
    </w:p>
    <w:p>
      <w:pPr>
        <w:pStyle w:val="TextBody"/>
        <w:numPr>
          <w:ilvl w:val="0"/>
          <w:numId w:val="7"/>
        </w:numPr>
        <w:tabs>
          <w:tab w:val="clear" w:pos="1134"/>
          <w:tab w:val="left" w:pos="709" w:leader="none"/>
        </w:tabs>
        <w:bidi w:val="0"/>
        <w:spacing w:before="0" w:after="0"/>
        <w:ind w:start="709" w:hanging="283"/>
        <w:jc w:val="start"/>
        <w:rPr/>
      </w:pPr>
      <w:r>
        <w:rPr/>
        <w:t xml:space="preserve">Ojanotko-Harri AO, Harri M. P, Hurltia H. M and Sewon L. A. Altered tissue metabolism of progesterone in pregnancy gingivitis and granuloma. </w:t>
      </w:r>
      <w:r>
        <w:rPr>
          <w:rStyle w:val="Emphasis"/>
        </w:rPr>
        <w:t xml:space="preserve">Journal of Clinical Periodontalogy 1991; 18: 262-266. </w:t>
      </w:r>
    </w:p>
    <w:p>
      <w:pPr>
        <w:pStyle w:val="TextBody"/>
        <w:numPr>
          <w:ilvl w:val="0"/>
          <w:numId w:val="7"/>
        </w:numPr>
        <w:tabs>
          <w:tab w:val="clear" w:pos="1134"/>
          <w:tab w:val="left" w:pos="709" w:leader="none"/>
        </w:tabs>
        <w:bidi w:val="0"/>
        <w:spacing w:before="0" w:after="0"/>
        <w:ind w:start="709" w:hanging="283"/>
        <w:jc w:val="start"/>
        <w:rPr/>
      </w:pPr>
      <w:r>
        <w:rPr/>
        <w:t xml:space="preserve">Steinberg B. J. Woman’s oral health issues. </w:t>
      </w:r>
      <w:r>
        <w:rPr>
          <w:rStyle w:val="Emphasis"/>
        </w:rPr>
        <w:t xml:space="preserve">Journal of Dental Education 1999; 63: 271-275. </w:t>
      </w:r>
    </w:p>
    <w:p>
      <w:pPr>
        <w:pStyle w:val="TextBody"/>
        <w:numPr>
          <w:ilvl w:val="0"/>
          <w:numId w:val="7"/>
        </w:numPr>
        <w:tabs>
          <w:tab w:val="clear" w:pos="1134"/>
          <w:tab w:val="left" w:pos="709" w:leader="none"/>
        </w:tabs>
        <w:bidi w:val="0"/>
        <w:spacing w:before="0" w:after="0"/>
        <w:ind w:start="709" w:hanging="283"/>
        <w:jc w:val="start"/>
        <w:rPr/>
      </w:pPr>
      <w:r>
        <w:rPr/>
        <w:t xml:space="preserve">Miyagi M., Aoyama H., Moroshita M and Iwamoto Y. Effects of sex hormones on chemotaxis of human peripheral polymorphonuclear leukocytes and monocytes. </w:t>
      </w:r>
      <w:r>
        <w:rPr>
          <w:rStyle w:val="Emphasis"/>
        </w:rPr>
        <w:t xml:space="preserve">Journal of Clinical Periodontology 1992; 63: 2832. </w:t>
      </w:r>
    </w:p>
    <w:p>
      <w:pPr>
        <w:pStyle w:val="TextBody"/>
        <w:numPr>
          <w:ilvl w:val="0"/>
          <w:numId w:val="7"/>
        </w:numPr>
        <w:tabs>
          <w:tab w:val="clear" w:pos="1134"/>
          <w:tab w:val="left" w:pos="709" w:leader="none"/>
        </w:tabs>
        <w:bidi w:val="0"/>
        <w:spacing w:before="0" w:after="0"/>
        <w:ind w:start="709" w:hanging="283"/>
        <w:jc w:val="start"/>
        <w:rPr/>
      </w:pPr>
      <w:r>
        <w:rPr/>
        <w:t xml:space="preserve">Laine M. A. Effect of pregnancy on periodontal and dental health. </w:t>
      </w:r>
      <w:r>
        <w:rPr>
          <w:rStyle w:val="Emphasis"/>
        </w:rPr>
        <w:t xml:space="preserve">Acta Odontologica Scandinavica Journal 2002; 60: 257-264 </w:t>
      </w:r>
      <w:r>
        <w:rPr/>
        <w:t xml:space="preserve">. </w:t>
      </w:r>
    </w:p>
    <w:p>
      <w:pPr>
        <w:pStyle w:val="TextBody"/>
        <w:numPr>
          <w:ilvl w:val="0"/>
          <w:numId w:val="7"/>
        </w:numPr>
        <w:tabs>
          <w:tab w:val="clear" w:pos="1134"/>
          <w:tab w:val="left" w:pos="709" w:leader="none"/>
        </w:tabs>
        <w:bidi w:val="0"/>
        <w:spacing w:before="0" w:after="0"/>
        <w:ind w:start="709" w:hanging="283"/>
        <w:jc w:val="start"/>
        <w:rPr/>
      </w:pPr>
      <w:r>
        <w:rPr/>
        <w:t xml:space="preserve">Ingrida Vasiliauskiene. Oral health status of pregnant women. </w:t>
      </w:r>
      <w:r>
        <w:rPr>
          <w:rStyle w:val="Emphasis"/>
        </w:rPr>
        <w:t xml:space="preserve">Stomatologia, Baltic Dental and Maxillofacial Journal 2003; 5: 57-61. </w:t>
      </w:r>
    </w:p>
    <w:p>
      <w:pPr>
        <w:pStyle w:val="TextBody"/>
        <w:numPr>
          <w:ilvl w:val="0"/>
          <w:numId w:val="7"/>
        </w:numPr>
        <w:tabs>
          <w:tab w:val="clear" w:pos="1134"/>
          <w:tab w:val="left" w:pos="709" w:leader="none"/>
        </w:tabs>
        <w:bidi w:val="0"/>
        <w:spacing w:before="0" w:after="0"/>
        <w:ind w:start="709" w:hanging="283"/>
        <w:jc w:val="start"/>
        <w:rPr/>
      </w:pPr>
      <w:r>
        <w:rPr/>
        <w:t xml:space="preserve">Gaffield M., Brenda J., Gilbert C., Malvitz D. M. and Romaguera R. Oral Health during Pregnancy. </w:t>
      </w:r>
      <w:r>
        <w:rPr>
          <w:rStyle w:val="Emphasis"/>
        </w:rPr>
        <w:t xml:space="preserve">Journal of American Dental Association 200; 132: 189-194. </w:t>
      </w:r>
    </w:p>
    <w:p>
      <w:pPr>
        <w:pStyle w:val="TextBody"/>
        <w:numPr>
          <w:ilvl w:val="0"/>
          <w:numId w:val="7"/>
        </w:numPr>
        <w:tabs>
          <w:tab w:val="clear" w:pos="1134"/>
          <w:tab w:val="left" w:pos="709" w:leader="none"/>
        </w:tabs>
        <w:bidi w:val="0"/>
        <w:spacing w:before="0" w:after="0"/>
        <w:ind w:start="709" w:hanging="283"/>
        <w:jc w:val="start"/>
        <w:rPr/>
      </w:pPr>
      <w:r>
        <w:rPr/>
        <w:t xml:space="preserve">Nuamah I and Annan B. D. Periodontal status and oral hygiene practices of pregnant and non-pregnant women. </w:t>
      </w:r>
      <w:r>
        <w:rPr>
          <w:rStyle w:val="Emphasis"/>
        </w:rPr>
        <w:t xml:space="preserve">East African Medical Journal 1998; 75: 712–714. </w:t>
      </w:r>
    </w:p>
    <w:p>
      <w:pPr>
        <w:pStyle w:val="TextBody"/>
        <w:numPr>
          <w:ilvl w:val="0"/>
          <w:numId w:val="7"/>
        </w:numPr>
        <w:tabs>
          <w:tab w:val="clear" w:pos="1134"/>
          <w:tab w:val="left" w:pos="709" w:leader="none"/>
        </w:tabs>
        <w:bidi w:val="0"/>
        <w:spacing w:before="0" w:after="0"/>
        <w:ind w:start="709" w:hanging="283"/>
        <w:jc w:val="start"/>
        <w:rPr/>
      </w:pPr>
      <w:r>
        <w:rPr/>
        <w:t xml:space="preserve">Machuca G., Khoshfeiz O., Lacalle R. J., Machuca C. and Bullon P. The influence of general health and socio – cultural variables on the periodontal condition of pregnant women. </w:t>
      </w:r>
      <w:r>
        <w:rPr>
          <w:rStyle w:val="Emphasis"/>
        </w:rPr>
        <w:t xml:space="preserve">Journal of Clinical Periodontology 1999; 70: 779–785. </w:t>
      </w:r>
    </w:p>
    <w:p>
      <w:pPr>
        <w:pStyle w:val="TextBody"/>
        <w:numPr>
          <w:ilvl w:val="0"/>
          <w:numId w:val="7"/>
        </w:numPr>
        <w:tabs>
          <w:tab w:val="clear" w:pos="1134"/>
          <w:tab w:val="left" w:pos="709" w:leader="none"/>
        </w:tabs>
        <w:bidi w:val="0"/>
        <w:spacing w:before="0" w:after="0"/>
        <w:ind w:start="709" w:hanging="283"/>
        <w:jc w:val="start"/>
        <w:rPr/>
      </w:pPr>
      <w:r>
        <w:rPr/>
        <w:t xml:space="preserve">Yalcin F., Eskinazi E., Soydinc M., Basegmez C., Issever H. and Isik G. The effect of socio cultural effects on periodontal condition in pregnancy. </w:t>
      </w:r>
      <w:r>
        <w:rPr>
          <w:rStyle w:val="Emphasis"/>
        </w:rPr>
        <w:t xml:space="preserve">Journal of Clinical Periodontology 2002; 74: 178-182 </w:t>
      </w:r>
      <w:r>
        <w:rPr/>
        <w:t xml:space="preserve">. </w:t>
      </w:r>
    </w:p>
    <w:p>
      <w:pPr>
        <w:pStyle w:val="TextBody"/>
        <w:numPr>
          <w:ilvl w:val="0"/>
          <w:numId w:val="7"/>
        </w:numPr>
        <w:tabs>
          <w:tab w:val="clear" w:pos="1134"/>
          <w:tab w:val="left" w:pos="709" w:leader="none"/>
        </w:tabs>
        <w:bidi w:val="0"/>
        <w:spacing w:before="0" w:after="0"/>
        <w:ind w:start="709" w:hanging="283"/>
        <w:jc w:val="start"/>
        <w:rPr/>
      </w:pPr>
      <w:r>
        <w:rPr/>
        <w:t xml:space="preserve">Tilakaratne A., Soory M., Ranasinghe AW., Corea SMX., Ekanayake S L. and Desilva M. Periodontal disease status during pregnancy and 3 months post – partum, in a rural population of Sri-Lankan women. </w:t>
      </w:r>
      <w:r>
        <w:rPr>
          <w:rStyle w:val="Emphasis"/>
        </w:rPr>
        <w:t xml:space="preserve">Journal of Clinical Periodontalogy 2000; 27: 787-792. </w:t>
      </w:r>
    </w:p>
    <w:p>
      <w:pPr>
        <w:pStyle w:val="TextBody"/>
        <w:numPr>
          <w:ilvl w:val="0"/>
          <w:numId w:val="7"/>
        </w:numPr>
        <w:tabs>
          <w:tab w:val="clear" w:pos="1134"/>
          <w:tab w:val="left" w:pos="709" w:leader="none"/>
        </w:tabs>
        <w:bidi w:val="0"/>
        <w:spacing w:before="0" w:after="0"/>
        <w:ind w:start="709" w:hanging="283"/>
        <w:jc w:val="start"/>
        <w:rPr/>
      </w:pPr>
      <w:r>
        <w:rPr/>
        <w:t xml:space="preserve">Santosh Kumar Tadakamadla, Prachi Agarwal and Preksha Jain. Dental status and its socio-demographic influences among pregnant women attending a maternity hospital in India. </w:t>
      </w:r>
      <w:r>
        <w:rPr>
          <w:rStyle w:val="Emphasis"/>
        </w:rPr>
        <w:t xml:space="preserve">Journal of Clinical Express in Dentistry 2007; 3: 183-192. </w:t>
      </w:r>
    </w:p>
    <w:p>
      <w:pPr>
        <w:pStyle w:val="TextBody"/>
        <w:numPr>
          <w:ilvl w:val="0"/>
          <w:numId w:val="7"/>
        </w:numPr>
        <w:tabs>
          <w:tab w:val="clear" w:pos="1134"/>
          <w:tab w:val="left" w:pos="709" w:leader="none"/>
        </w:tabs>
        <w:bidi w:val="0"/>
        <w:spacing w:before="0" w:after="0"/>
        <w:ind w:start="709" w:hanging="283"/>
        <w:jc w:val="start"/>
        <w:rPr/>
      </w:pPr>
      <w:r>
        <w:rPr/>
        <w:t xml:space="preserve">Miyazaki H, Yamashita Y and Shirahama R. Periodontal conditions of pregnant women assessed by CPITN. </w:t>
      </w:r>
      <w:r>
        <w:rPr>
          <w:rStyle w:val="Emphasis"/>
        </w:rPr>
        <w:t xml:space="preserve">Journal of Clinical Periodontology 1991: 18: 751-4. </w:t>
      </w:r>
    </w:p>
    <w:p>
      <w:pPr>
        <w:pStyle w:val="TextBody"/>
        <w:numPr>
          <w:ilvl w:val="0"/>
          <w:numId w:val="7"/>
        </w:numPr>
        <w:tabs>
          <w:tab w:val="clear" w:pos="1134"/>
          <w:tab w:val="left" w:pos="709" w:leader="none"/>
        </w:tabs>
        <w:bidi w:val="0"/>
        <w:spacing w:before="0" w:after="0"/>
        <w:ind w:start="709" w:hanging="283"/>
        <w:jc w:val="start"/>
        <w:rPr/>
      </w:pPr>
      <w:r>
        <w:rPr/>
        <w:t xml:space="preserve">Manau C, Echeverria A, Agueda A, Guerrero A and Echeverria JJ. Periodontal disease definition may determine the association between periodontitis and pregnancy outcomes. </w:t>
      </w:r>
      <w:r>
        <w:rPr>
          <w:rStyle w:val="Emphasis"/>
        </w:rPr>
        <w:t xml:space="preserve">Journal of Clinical Periodontology 2008; 35: 385-397. </w:t>
      </w:r>
    </w:p>
    <w:p>
      <w:pPr>
        <w:pStyle w:val="TextBody"/>
        <w:numPr>
          <w:ilvl w:val="0"/>
          <w:numId w:val="7"/>
        </w:numPr>
        <w:tabs>
          <w:tab w:val="clear" w:pos="1134"/>
          <w:tab w:val="left" w:pos="709" w:leader="none"/>
        </w:tabs>
        <w:bidi w:val="0"/>
        <w:spacing w:before="0" w:after="283"/>
        <w:ind w:start="709" w:hanging="283"/>
        <w:jc w:val="start"/>
        <w:rPr/>
      </w:pPr>
      <w:r>
        <w:rPr/>
        <w:t xml:space="preserve">Navin Anand Ingle, Akila Ganesh, Preetha Elizabeth Chaley and V. Chandrasekhara Reddy. A survey on dental knowledge and gingival health of pregnant women attending government maternity hospital, Chennai. </w:t>
      </w:r>
      <w:r>
        <w:rPr>
          <w:rStyle w:val="Emphasis"/>
        </w:rPr>
        <w:t xml:space="preserve">Journal of Oral Health and Community Dentistry 2011; 5: 24-30.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https://assignbuster.com/oral-health-status-of-pregnant-and-non-pregnant-women/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Oral health status of pregnant and non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3">
    <w:abstractNumId w:val="2"/>
  </w:num>
  <w:num w:numId="3">
    <w:abstractNumId w:val="2"/>
  </w:num>
  <w:num w:numId="4">
    <w:abstractNumId w:val="2"/>
    <w:lvlOverride w:ilvl="0">
      <w:startOverride w:val="1"/>
    </w:lvlOverride>
  </w:num>
  <w:num w:numId="5">
    <w:abstractNumId w:val="3"/>
  </w:num>
  <w:num w:numId="6">
    <w:abstractNumId w:val="4"/>
  </w:num>
  <w:num w:numId="7">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l-health-status-of-pregnant-and-non-pregnant-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health status of pregnant and non pregnant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status of pregnant and non pregnant women</dc:title>
  <dc:subject>Others;</dc:subject>
  <dc:creator>AssignBuster</dc:creator>
  <cp:keywords/>
  <dc:description>Keeping the above facts in mind, an attempt was made to carry out a comparative hospital based study on Oral Health Status of pregnant and nonpregnant...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