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"https://assignbuster.com/question-for-analysis-2/"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Question for analysis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Question Analysis Question 3 The argument that the Internet has combined different kinds of content on a single screen isincontestably valid. The Internet has lots of information, and readers embrace the web as a universal medium through which to acquire content. As the author notes, people are at the risk of becoming mere decoders if they do not utilize the internet as a complementary tool to think critically and engage with the information. Personally, I think that the author is unquestionably right to assert that the internet has converted the users into mere consumers of information. Many people have become victims of distracted and cursory thinking that the internet poses. The fragmented information on the Internet tends to disrupt the readers’ concentration. In essence, the online environment promotes the superficial and hurried search for information, which the readers spend less time to internalize and think comprehensively. </w:t>
        <w:br/>
        <w:t xml:space="preserve">The alternatives to becoming critical information consumers and questioners are printing and people questioning whatever content they read on the internet. The advantage of publishing a tangible publication is that the readers will have time to internalize and engage with the content as they embrace intensive reading (Robin and Power 35). Readers can concentrate on the content without distraction as pointed out by the author. However, the challenge of printing is the increased automation of books and the environmental fears about depleting the natural resources. Alternatively, the readers can take charge of whatever they read on the internet. In this respect, behavioral change is critical in transforming people from mere decoders of information to critical questioners of the content. The change in the reading habits is a viable solution because everybody can decide to embrace the comprehensive interaction and critical acquisition of information. </w:t>
        <w:br/>
        <w:t xml:space="preserve">Work Cited </w:t>
        <w:br/>
        <w:t xml:space="preserve">Robin, Teigland, and Power Dominic. The Immersive Internet: Reflections on the Entangling of the Virtual with Society, Politics and the Economy. Palgrave Macmillan, Basingstoke, GB, 2013.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https://assignbuster.com/question-for-analysis-2/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Question for analysis 2</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Question for analysis 2</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for analysis 2</dc:title>
  <dc:subject>Philosophy;</dc:subject>
  <dc:creator>AssignBuster</dc:creator>
  <cp:keywords/>
  <dc:description>As the author notes, people are at the risk of becoming mere decoders if they do not utilize the internet as a complementary tool to think critically ...</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