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Price elasticity of demand</w:t>
        </w:r>
      </w:hyperlink>
      <w:bookmarkEnd w:id="0"/>
    </w:p>
    <w:p>
      <w:r>
        <w:br w:type="page"/>
      </w:r>
    </w:p>
    <w:p>
      <w:pPr>
        <w:pStyle w:val="TextBody"/>
        <w:bidi w:val="0"/>
        <w:jc w:val="start"/>
        <w:rPr/>
      </w:pPr>
      <w:r>
        <w:rPr/>
        <w:t xml:space="preserve">The price elasticity of demand measures the responsiveness of quantity demanded to a change in price, with all other factors held constant. </w:t>
      </w:r>
    </w:p>
    <w:p>
      <w:pPr>
        <w:pStyle w:val="Heading3"/>
        <w:bidi w:val="0"/>
        <w:jc w:val="start"/>
        <w:rPr/>
      </w:pPr>
      <w:r>
        <w:rPr/>
        <w:t xml:space="preserve">Definition </w:t>
      </w:r>
    </w:p>
    <w:p>
      <w:pPr>
        <w:pStyle w:val="TextBody"/>
        <w:bidi w:val="0"/>
        <w:spacing w:before="0" w:after="283"/>
        <w:jc w:val="start"/>
        <w:rPr/>
      </w:pPr>
      <w:r>
        <w:rPr/>
        <w:t xml:space="preserve">The price elasticity of demand, </w:t>
      </w:r>
      <w:r>
        <w:rPr>
          <w:rStyle w:val="Emphasis"/>
        </w:rPr>
        <w:t xml:space="preserve">E </w:t>
      </w:r>
      <w:r>
        <w:rPr>
          <w:rStyle w:val="Emphasis"/>
          <w:position w:val="-2"/>
          <w:sz w:val="19"/>
        </w:rPr>
        <w:t xml:space="preserve">d </w:t>
      </w:r>
      <w:r>
        <w:rPr/>
        <w:t xml:space="preserve">is defined as the magnitude of: </w:t>
      </w:r>
    </w:p>
    <w:p>
      <w:pPr>
        <w:pStyle w:val="TextBody"/>
        <w:bidi w:val="0"/>
        <w:spacing w:before="0" w:after="283"/>
        <w:jc w:val="start"/>
        <w:rPr/>
      </w:pPr>
      <w:r>
        <w:rPr/>
        <w:t xml:space="preserve">proportionate change in quantity demanded </w:t>
        <w:br/>
      </w:r>
      <w:r>
        <w:rPr>
          <w:rStyle w:val="Emphasis"/>
        </w:rPr>
        <w:t xml:space="preserve">E </w:t>
      </w:r>
      <w:r>
        <w:rPr>
          <w:rStyle w:val="Emphasis"/>
          <w:position w:val="-2"/>
          <w:sz w:val="19"/>
        </w:rPr>
        <w:t xml:space="preserve">d </w:t>
      </w:r>
      <w:r>
        <w:rPr/>
        <w:t xml:space="preserve">= ———————————————————————— </w:t>
      </w:r>
    </w:p>
    <w:p>
      <w:pPr>
        <w:pStyle w:val="TextBody"/>
        <w:bidi w:val="0"/>
        <w:spacing w:before="0" w:after="283"/>
        <w:jc w:val="start"/>
        <w:rPr/>
      </w:pPr>
      <w:r>
        <w:rPr/>
        <w:t xml:space="preserve">proportionate change in price </w:t>
      </w:r>
    </w:p>
    <w:p>
      <w:pPr>
        <w:pStyle w:val="TextBody"/>
        <w:bidi w:val="0"/>
        <w:spacing w:before="0" w:after="283"/>
        <w:jc w:val="start"/>
        <w:rPr/>
      </w:pPr>
      <w:r>
        <w:rPr/>
        <w:t xml:space="preserve">Sincethe quantity demanded decreases when the price increases, this ratio is negative; however, the absolute value usually is taken and </w:t>
      </w:r>
      <w:r>
        <w:rPr>
          <w:rStyle w:val="Emphasis"/>
        </w:rPr>
        <w:t xml:space="preserve">E </w:t>
      </w:r>
      <w:r>
        <w:rPr>
          <w:rStyle w:val="Emphasis"/>
          <w:position w:val="-2"/>
          <w:sz w:val="19"/>
        </w:rPr>
        <w:t xml:space="preserve">d </w:t>
      </w:r>
      <w:r>
        <w:rPr/>
        <w:t xml:space="preserve">is reported as a positive number. </w:t>
      </w:r>
    </w:p>
    <w:p>
      <w:pPr>
        <w:pStyle w:val="TextBody"/>
        <w:bidi w:val="0"/>
        <w:spacing w:before="0" w:after="283"/>
        <w:jc w:val="start"/>
        <w:rPr/>
      </w:pPr>
      <w:r>
        <w:rPr/>
        <w:t xml:space="preserve">Because the calculation uses proportionate changes, the answer is a unit-less number which does not depend on the units in which the price and quantity are expressed. </w:t>
      </w:r>
    </w:p>
    <w:p>
      <w:pPr>
        <w:pStyle w:val="TextBody"/>
        <w:bidi w:val="0"/>
        <w:spacing w:before="0" w:after="283"/>
        <w:jc w:val="start"/>
        <w:rPr/>
      </w:pPr>
      <w:r>
        <w:rPr/>
        <w:t xml:space="preserve">For example, consider a product which has </w:t>
      </w:r>
      <w:r>
        <w:rPr>
          <w:rStyle w:val="Emphasis"/>
        </w:rPr>
        <w:t xml:space="preserve">E </w:t>
      </w:r>
      <w:r>
        <w:rPr>
          <w:rStyle w:val="Emphasis"/>
          <w:position w:val="-2"/>
          <w:sz w:val="19"/>
        </w:rPr>
        <w:t xml:space="preserve">d </w:t>
      </w:r>
      <w:r>
        <w:rPr/>
        <w:t xml:space="preserve">is equal to be 0. 5. Then, if the priceis increased by 10%, a decrease of approximately 5% in quantity demanded would be observed. </w:t>
      </w:r>
    </w:p>
    <w:p>
      <w:pPr>
        <w:pStyle w:val="TextBody"/>
        <w:bidi w:val="0"/>
        <w:spacing w:before="0" w:after="283"/>
        <w:jc w:val="start"/>
        <w:rPr/>
      </w:pPr>
      <w:r>
        <w:rPr/>
        <w:t xml:space="preserve">Inthe above example, the word “ approximately” is used asthe exact result will depend on whether the initial valueor the final value of price and quantity is used in the calculation. Thisis because for a linear demand curve the priceelasticity varies as one moves along the curve. Forsmall changes in price and quantity the differencebetween the two results often is negligible, butfor large changes the difference may be more significant. Todeal with this issue, one can use the </w:t>
      </w:r>
      <w:r>
        <w:rPr>
          <w:rStyle w:val="Emphasis"/>
        </w:rPr>
        <w:t xml:space="preserve">arc </w:t>
      </w:r>
      <w:r>
        <w:rPr/>
        <w:t xml:space="preserve">price elasticityof demand. This elasticity uses the average of the initial and finalquantities and the average of the initial and final priceswhile calculating the proportionate change in each. Mathematically, the arc price elasticity of demand can be written as: </w:t>
      </w:r>
    </w:p>
    <w:p>
      <w:pPr>
        <w:pStyle w:val="TextBody"/>
        <w:bidi w:val="0"/>
        <w:spacing w:before="0" w:after="283"/>
        <w:jc w:val="start"/>
        <w:rPr/>
      </w:pPr>
      <w:r>
        <w:rPr/>
        <w:t xml:space="preserve">Q2 – Q1 </w:t>
      </w:r>
    </w:p>
    <w:p>
      <w:pPr>
        <w:pStyle w:val="TextBody"/>
        <w:bidi w:val="0"/>
        <w:spacing w:before="0" w:after="283"/>
        <w:jc w:val="start"/>
        <w:rPr/>
      </w:pPr>
      <w:r>
        <w:rPr/>
        <w:t xml:space="preserve">———————– </w:t>
      </w:r>
    </w:p>
    <w:p>
      <w:pPr>
        <w:pStyle w:val="TextBody"/>
        <w:bidi w:val="0"/>
        <w:spacing w:before="0" w:after="283"/>
        <w:jc w:val="start"/>
        <w:rPr/>
      </w:pPr>
      <w:r>
        <w:rPr/>
        <w:t xml:space="preserve">( Q1 + Q2 ) / 2 </w:t>
        <w:br/>
      </w:r>
      <w:r>
        <w:rPr>
          <w:rStyle w:val="Emphasis"/>
        </w:rPr>
        <w:t xml:space="preserve">E </w:t>
      </w:r>
      <w:r>
        <w:rPr>
          <w:rStyle w:val="Emphasis"/>
          <w:position w:val="-2"/>
          <w:sz w:val="19"/>
        </w:rPr>
        <w:t xml:space="preserve">d </w:t>
      </w:r>
      <w:r>
        <w:rPr/>
        <w:t xml:space="preserve">= ——————————- </w:t>
      </w:r>
    </w:p>
    <w:p>
      <w:pPr>
        <w:pStyle w:val="TextBody"/>
        <w:bidi w:val="0"/>
        <w:spacing w:before="0" w:after="283"/>
        <w:jc w:val="start"/>
        <w:rPr/>
      </w:pPr>
      <w:r>
        <w:rPr/>
        <w:t xml:space="preserve">P2 – P1 </w:t>
      </w:r>
    </w:p>
    <w:p>
      <w:pPr>
        <w:pStyle w:val="TextBody"/>
        <w:bidi w:val="0"/>
        <w:spacing w:before="0" w:after="283"/>
        <w:jc w:val="start"/>
        <w:rPr/>
      </w:pPr>
      <w:r>
        <w:rPr/>
        <w:t xml:space="preserve">———————– </w:t>
      </w:r>
    </w:p>
    <w:p>
      <w:pPr>
        <w:pStyle w:val="TextBody"/>
        <w:bidi w:val="0"/>
        <w:spacing w:before="0" w:after="283"/>
        <w:jc w:val="start"/>
        <w:rPr/>
      </w:pPr>
      <w:r>
        <w:rPr/>
        <w:t xml:space="preserve">( P1 + P2 ) / 2 </w:t>
      </w:r>
    </w:p>
    <w:p>
      <w:pPr>
        <w:pStyle w:val="TextBody"/>
        <w:bidi w:val="0"/>
        <w:spacing w:before="0" w:after="283"/>
        <w:jc w:val="start"/>
        <w:rPr/>
      </w:pPr>
      <w:r>
        <w:rPr/>
        <w:t xml:space="preserve">Where: </w:t>
      </w:r>
    </w:p>
    <w:p>
      <w:pPr>
        <w:pStyle w:val="TextBody"/>
        <w:bidi w:val="0"/>
        <w:spacing w:before="0" w:after="283"/>
        <w:jc w:val="start"/>
        <w:rPr/>
      </w:pPr>
      <w:r>
        <w:rPr/>
        <w:t xml:space="preserve">Q1  =  Initial quantity </w:t>
      </w:r>
    </w:p>
    <w:p>
      <w:pPr>
        <w:pStyle w:val="TextBody"/>
        <w:bidi w:val="0"/>
        <w:spacing w:before="0" w:after="283"/>
        <w:jc w:val="start"/>
        <w:rPr/>
      </w:pPr>
      <w:r>
        <w:rPr/>
        <w:t xml:space="preserve">Q2  =  Final quantity </w:t>
      </w:r>
    </w:p>
    <w:p>
      <w:pPr>
        <w:pStyle w:val="TextBody"/>
        <w:bidi w:val="0"/>
        <w:spacing w:before="0" w:after="283"/>
        <w:jc w:val="start"/>
        <w:rPr/>
      </w:pPr>
      <w:r>
        <w:rPr/>
        <w:t xml:space="preserve">P1  =  Initial price </w:t>
      </w:r>
    </w:p>
    <w:p>
      <w:pPr>
        <w:pStyle w:val="TextBody"/>
        <w:bidi w:val="0"/>
        <w:spacing w:before="0" w:after="283"/>
        <w:jc w:val="start"/>
        <w:rPr/>
      </w:pPr>
      <w:r>
        <w:rPr/>
        <w:t xml:space="preserve">P2  =  Final price </w:t>
      </w:r>
    </w:p>
    <w:p>
      <w:pPr>
        <w:pStyle w:val="Heading3"/>
        <w:bidi w:val="0"/>
        <w:jc w:val="start"/>
        <w:rPr/>
      </w:pPr>
      <w:r>
        <w:rPr/>
        <w:t xml:space="preserve">Elastic versus Inelastic </w:t>
      </w:r>
    </w:p>
    <w:p>
      <w:pPr>
        <w:pStyle w:val="TextBody"/>
        <w:bidi w:val="0"/>
        <w:spacing w:before="0" w:after="283"/>
        <w:jc w:val="start"/>
        <w:rPr/>
      </w:pPr>
      <w:r>
        <w:rPr>
          <w:rStyle w:val="Emphasis"/>
          <w:u w:val="single"/>
        </w:rPr>
        <w:t xml:space="preserve">E </w:t>
      </w:r>
      <w:r>
        <w:rPr>
          <w:u w:val="single"/>
        </w:rPr>
        <w:t xml:space="preserve">&gt; 1 </w:t>
      </w:r>
    </w:p>
    <w:p>
      <w:pPr>
        <w:pStyle w:val="TextBody"/>
        <w:bidi w:val="0"/>
        <w:spacing w:before="0" w:after="283"/>
        <w:jc w:val="start"/>
        <w:rPr/>
      </w:pPr>
      <w:r>
        <w:rPr/>
        <w:t xml:space="preserve">Inthis case, the quantity demanded is elastic, i. e. a small price change will causea larger change in the quantity demanded. When </w:t>
      </w:r>
      <w:r>
        <w:rPr>
          <w:rStyle w:val="Emphasis"/>
        </w:rPr>
        <w:t xml:space="preserve">E </w:t>
      </w:r>
      <w:r>
        <w:rPr>
          <w:rStyle w:val="Emphasis"/>
          <w:position w:val="-2"/>
          <w:sz w:val="19"/>
        </w:rPr>
        <w:t xml:space="preserve">d </w:t>
      </w:r>
      <w:r>
        <w:rPr/>
        <w:t xml:space="preserve">= infinity, this type of demand is called perfectly elastic. Thedemand curve in such a case would be horizontal i. e. parallel to the quantity axis. Forproducts havinga high price elasticity of demand, aprice increase will result in a decrease in total revenue. This is because therevenue lost from the resultingdecrease in quantity sold ismore than the revenue gained from the price increase. </w:t>
      </w:r>
    </w:p>
    <w:p>
      <w:pPr>
        <w:pStyle w:val="TextBody"/>
        <w:bidi w:val="0"/>
        <w:spacing w:before="0" w:after="283"/>
        <w:jc w:val="start"/>
        <w:rPr/>
      </w:pPr>
      <w:r>
        <w:rPr>
          <w:rStyle w:val="Emphasis"/>
          <w:u w:val="single"/>
        </w:rPr>
        <w:t xml:space="preserve">E </w:t>
      </w:r>
      <w:r>
        <w:rPr>
          <w:u w:val="single"/>
        </w:rPr>
        <w:t xml:space="preserve">&lt;1 </w:t>
      </w:r>
    </w:p>
    <w:p>
      <w:pPr>
        <w:pStyle w:val="TextBody"/>
        <w:bidi w:val="0"/>
        <w:spacing w:before="0" w:after="283"/>
        <w:jc w:val="start"/>
        <w:rPr/>
      </w:pPr>
      <w:r>
        <w:rPr/>
        <w:t xml:space="preserve">In this case, the quantity demanded is relatively inelastic, i. e. a small change in price will cause even smaller change in quantity demanded. When </w:t>
      </w:r>
      <w:r>
        <w:rPr>
          <w:rStyle w:val="Emphasis"/>
        </w:rPr>
        <w:t xml:space="preserve">E </w:t>
      </w:r>
      <w:r>
        <w:rPr>
          <w:rStyle w:val="Emphasis"/>
          <w:position w:val="-2"/>
          <w:sz w:val="19"/>
        </w:rPr>
        <w:t xml:space="preserve">d </w:t>
      </w:r>
      <w:r>
        <w:rPr/>
        <w:t xml:space="preserve">= 0, this is referred to as perfectly inelastic. The demand curve in this case would be vertical i. e. parallel to the price axis. Forproducts in which quantity demanded is inelastic, aprice increase will lead to a revenue increase. This is because, the revenue lost bythe small decrease in quantity is lessthan the revenue gained fromthe higher price. </w:t>
      </w:r>
    </w:p>
    <w:p>
      <w:pPr>
        <w:pStyle w:val="TextBody"/>
        <w:bidi w:val="0"/>
        <w:spacing w:before="0" w:after="283"/>
        <w:jc w:val="start"/>
        <w:rPr/>
      </w:pPr>
      <w:r>
        <w:rPr>
          <w:rStyle w:val="Emphasis"/>
          <w:u w:val="single"/>
        </w:rPr>
        <w:t xml:space="preserve">E </w:t>
      </w:r>
      <w:r>
        <w:rPr>
          <w:u w:val="single"/>
        </w:rPr>
        <w:t xml:space="preserve">= 1 </w:t>
      </w:r>
    </w:p>
    <w:p>
      <w:pPr>
        <w:pStyle w:val="TextBody"/>
        <w:bidi w:val="0"/>
        <w:spacing w:before="0" w:after="283"/>
        <w:jc w:val="start"/>
        <w:rPr/>
      </w:pPr>
      <w:r>
        <w:rPr/>
        <w:t xml:space="preserve">Inthis case, the product is said to have unitary elasticity. Changes in price do not affect the total revenue as it is accompanied by equal change in quanlity. </w:t>
      </w:r>
    </w:p>
    <w:p>
      <w:pPr>
        <w:pStyle w:val="Heading3"/>
        <w:bidi w:val="0"/>
        <w:jc w:val="start"/>
        <w:rPr/>
      </w:pPr>
      <w:r>
        <w:rPr/>
        <w:t xml:space="preserve">Factors that Affect the Price Elasticity of Demand </w:t>
      </w:r>
    </w:p>
    <w:p>
      <w:pPr>
        <w:pStyle w:val="TextBody"/>
        <w:numPr>
          <w:ilvl w:val="0"/>
          <w:numId w:val="1"/>
        </w:numPr>
        <w:tabs>
          <w:tab w:val="clear" w:pos="1134"/>
          <w:tab w:val="left" w:pos="709" w:leader="none"/>
        </w:tabs>
        <w:bidi w:val="0"/>
        <w:ind w:start="709" w:hanging="283"/>
        <w:jc w:val="start"/>
        <w:rPr/>
      </w:pPr>
      <w:r>
        <w:rPr/>
        <w:t xml:space="preserve">Availability of substitutes: if there are many substitutes, the elasticity will be greater. The number of substitutes depends on how broadly the product is defined. </w:t>
      </w:r>
    </w:p>
    <w:p>
      <w:pPr>
        <w:pStyle w:val="TextBody"/>
        <w:numPr>
          <w:ilvl w:val="0"/>
          <w:numId w:val="1"/>
        </w:numPr>
        <w:tabs>
          <w:tab w:val="clear" w:pos="1134"/>
          <w:tab w:val="left" w:pos="709" w:leader="none"/>
        </w:tabs>
        <w:bidi w:val="0"/>
        <w:ind w:start="709" w:hanging="283"/>
        <w:jc w:val="start"/>
        <w:rPr/>
      </w:pPr>
      <w:r>
        <w:rPr/>
        <w:t xml:space="preserve">Necessity or luxury: luxury products generally have greater elasticity. Some products that initially have a low degree of necessity are habit forming and hence can become necessities for some people. </w:t>
      </w:r>
    </w:p>
    <w:p>
      <w:pPr>
        <w:pStyle w:val="TextBody"/>
        <w:numPr>
          <w:ilvl w:val="0"/>
          <w:numId w:val="1"/>
        </w:numPr>
        <w:tabs>
          <w:tab w:val="clear" w:pos="1134"/>
          <w:tab w:val="left" w:pos="709" w:leader="none"/>
        </w:tabs>
        <w:bidi w:val="0"/>
        <w:ind w:start="709" w:hanging="283"/>
        <w:jc w:val="start"/>
        <w:rPr/>
      </w:pPr>
      <w:r>
        <w:rPr/>
        <w:t xml:space="preserve">Proportion of the buyer’s budget used by the item: products that consume a large part of the buyer’s budget tend to have greater price elasticity. </w:t>
      </w:r>
    </w:p>
    <w:p>
      <w:pPr>
        <w:pStyle w:val="TextBody"/>
        <w:numPr>
          <w:ilvl w:val="0"/>
          <w:numId w:val="1"/>
        </w:numPr>
        <w:tabs>
          <w:tab w:val="clear" w:pos="1134"/>
          <w:tab w:val="left" w:pos="709" w:leader="none"/>
        </w:tabs>
        <w:bidi w:val="0"/>
        <w:ind w:start="709" w:hanging="283"/>
        <w:jc w:val="start"/>
        <w:rPr/>
      </w:pPr>
      <w:r>
        <w:rPr/>
        <w:t xml:space="preserve">Time period: elasticity is generally greater over long period of time because consumers have more time to adjust their behaviour. </w:t>
      </w:r>
    </w:p>
    <w:p>
      <w:pPr>
        <w:pStyle w:val="TextBody"/>
        <w:numPr>
          <w:ilvl w:val="0"/>
          <w:numId w:val="1"/>
        </w:numPr>
        <w:tabs>
          <w:tab w:val="clear" w:pos="1134"/>
          <w:tab w:val="left" w:pos="709" w:leader="none"/>
        </w:tabs>
        <w:bidi w:val="0"/>
        <w:ind w:start="709" w:hanging="283"/>
        <w:jc w:val="start"/>
        <w:rPr/>
      </w:pPr>
      <w:r>
        <w:rPr/>
        <w:t xml:space="preserve">Permanent or temporary change in price: a one-day sale will generate a different response than a permanent price decrease. </w:t>
      </w:r>
    </w:p>
    <w:p>
      <w:pPr>
        <w:pStyle w:val="TextBody"/>
        <w:numPr>
          <w:ilvl w:val="0"/>
          <w:numId w:val="1"/>
        </w:numPr>
        <w:tabs>
          <w:tab w:val="clear" w:pos="1134"/>
          <w:tab w:val="left" w:pos="709" w:leader="none"/>
        </w:tabs>
        <w:bidi w:val="0"/>
        <w:ind w:start="709" w:hanging="283"/>
        <w:jc w:val="start"/>
        <w:rPr/>
      </w:pPr>
      <w:r>
        <w:rPr/>
        <w:t xml:space="preserve">Price points: depending on the point from where price is changed, decreasing the price from Rs. 200 to Rs. 190 may elicit a greater response than decreasing it from Rs. 190 to Rs. 180. </w:t>
      </w:r>
    </w:p>
    <w:p>
      <w:pPr>
        <w:pStyle w:val="Heading3"/>
        <w:bidi w:val="0"/>
        <w:jc w:val="start"/>
        <w:rPr/>
      </w:pPr>
      <w:r>
        <w:rPr/>
        <w:t xml:space="preserve">Durable Good </w:t>
      </w:r>
    </w:p>
    <w:p>
      <w:pPr>
        <w:pStyle w:val="TextBody"/>
        <w:bidi w:val="0"/>
        <w:spacing w:before="0" w:after="283"/>
        <w:jc w:val="start"/>
        <w:rPr/>
      </w:pPr>
      <w:r>
        <w:rPr/>
        <w:t xml:space="preserve">Ineconomics, adurable goodor ahard goodis agoodwhich has a low wear and tear, or in other words, it yieldsservicesorutilityover a period of time rather than being completely used up in once. Most goods are therefore durable goods to a certain degree. These are goods that can last for a relatively long time, such as cars, refrigerators and mobiles. Perfectly durable goods never wear out. An example of such a good might be a brick. </w:t>
      </w:r>
    </w:p>
    <w:p>
      <w:pPr>
        <w:pStyle w:val="TextBody"/>
        <w:bidi w:val="0"/>
        <w:spacing w:before="0" w:after="283"/>
        <w:jc w:val="start"/>
        <w:rPr/>
      </w:pPr>
      <w:r>
        <w:rPr/>
        <w:t xml:space="preserve">Consumer durable goods include cars, appliances, business equipment, electronic equipment, home furnishings and fixtures, house-ware and accessories, photographic equipment, recreational goods, sporting goods, toys and games. </w:t>
      </w:r>
    </w:p>
    <w:p>
      <w:pPr>
        <w:pStyle w:val="TextBody"/>
        <w:bidi w:val="0"/>
        <w:spacing w:before="0" w:after="283"/>
        <w:jc w:val="start"/>
        <w:rPr/>
      </w:pPr>
      <w:r>
        <w:rPr/>
        <w:t xml:space="preserve">Durable goods are typically characterized by long inter-purchase times, which is the time between two successive purchases. </w:t>
      </w:r>
    </w:p>
    <w:p>
      <w:pPr>
        <w:pStyle w:val="TextBody"/>
        <w:bidi w:val="0"/>
        <w:spacing w:before="0" w:after="283"/>
        <w:jc w:val="start"/>
        <w:rPr/>
      </w:pPr>
      <w:r>
        <w:rPr/>
        <w:t xml:space="preserve">Durable goods along with nondurable goods andservicestogether constitute theconsumptionof aneconomy. </w:t>
      </w:r>
    </w:p>
    <w:p>
      <w:pPr>
        <w:pStyle w:val="Heading3"/>
        <w:bidi w:val="0"/>
        <w:jc w:val="start"/>
        <w:rPr/>
      </w:pPr>
      <w:r>
        <w:rPr/>
        <w:t xml:space="preserve">The Indian Consumer Durables Industry can be segmented into three key groups- </w:t>
      </w:r>
    </w:p>
    <w:p>
      <w:pPr>
        <w:pStyle w:val="Heading3"/>
        <w:bidi w:val="0"/>
        <w:jc w:val="start"/>
        <w:rPr/>
      </w:pPr>
      <w:r>
        <w:rPr/>
        <w:t xml:space="preserve">White Goods </w:t>
      </w:r>
    </w:p>
    <w:p>
      <w:pPr>
        <w:pStyle w:val="TextBody"/>
        <w:bidi w:val="0"/>
        <w:spacing w:before="0" w:after="283"/>
        <w:jc w:val="start"/>
        <w:rPr/>
      </w:pPr>
      <w:r>
        <w:rPr/>
        <w:t xml:space="preserve">• </w:t>
      </w:r>
      <w:r>
        <w:rPr/>
        <w:t xml:space="preserve">Refrigerators </w:t>
      </w:r>
    </w:p>
    <w:p>
      <w:pPr>
        <w:pStyle w:val="TextBody"/>
        <w:bidi w:val="0"/>
        <w:spacing w:before="0" w:after="283"/>
        <w:jc w:val="start"/>
        <w:rPr/>
      </w:pPr>
      <w:r>
        <w:rPr/>
        <w:t xml:space="preserve">• </w:t>
      </w:r>
      <w:r>
        <w:rPr/>
        <w:t xml:space="preserve">Washing Machines </w:t>
      </w:r>
    </w:p>
    <w:p>
      <w:pPr>
        <w:pStyle w:val="TextBody"/>
        <w:bidi w:val="0"/>
        <w:spacing w:before="0" w:after="283"/>
        <w:jc w:val="start"/>
        <w:rPr/>
      </w:pPr>
      <w:r>
        <w:rPr/>
        <w:t xml:space="preserve">• </w:t>
      </w:r>
      <w:r>
        <w:rPr/>
        <w:t xml:space="preserve">Air Conditioners </w:t>
      </w:r>
    </w:p>
    <w:p>
      <w:pPr>
        <w:pStyle w:val="TextBody"/>
        <w:bidi w:val="0"/>
        <w:spacing w:before="0" w:after="283"/>
        <w:jc w:val="start"/>
        <w:rPr/>
      </w:pPr>
      <w:r>
        <w:rPr/>
        <w:t xml:space="preserve">• </w:t>
      </w:r>
      <w:r>
        <w:rPr/>
        <w:t xml:space="preserve">Speakers and Audio Equipments </w:t>
      </w:r>
    </w:p>
    <w:p>
      <w:pPr>
        <w:pStyle w:val="Heading3"/>
        <w:bidi w:val="0"/>
        <w:jc w:val="start"/>
        <w:rPr/>
      </w:pPr>
      <w:r>
        <w:rPr/>
        <w:t xml:space="preserve">Kitchen Appliances/Brown Goods </w:t>
      </w:r>
    </w:p>
    <w:p>
      <w:pPr>
        <w:pStyle w:val="TextBody"/>
        <w:bidi w:val="0"/>
        <w:spacing w:before="0" w:after="283"/>
        <w:jc w:val="start"/>
        <w:rPr/>
      </w:pPr>
      <w:r>
        <w:rPr/>
        <w:t xml:space="preserve">• </w:t>
      </w:r>
      <w:r>
        <w:rPr/>
        <w:t xml:space="preserve">Mixers </w:t>
      </w:r>
    </w:p>
    <w:p>
      <w:pPr>
        <w:pStyle w:val="TextBody"/>
        <w:bidi w:val="0"/>
        <w:spacing w:before="0" w:after="283"/>
        <w:jc w:val="start"/>
        <w:rPr/>
      </w:pPr>
      <w:r>
        <w:rPr/>
        <w:t xml:space="preserve">• </w:t>
      </w:r>
      <w:r>
        <w:rPr/>
        <w:t xml:space="preserve">Grinders </w:t>
      </w:r>
    </w:p>
    <w:p>
      <w:pPr>
        <w:pStyle w:val="TextBody"/>
        <w:bidi w:val="0"/>
        <w:spacing w:before="0" w:after="283"/>
        <w:jc w:val="start"/>
        <w:rPr/>
      </w:pPr>
      <w:r>
        <w:rPr/>
        <w:t xml:space="preserve">• </w:t>
      </w:r>
      <w:r>
        <w:rPr/>
        <w:t xml:space="preserve">Microwave Ovens </w:t>
      </w:r>
    </w:p>
    <w:p>
      <w:pPr>
        <w:pStyle w:val="TextBody"/>
        <w:bidi w:val="0"/>
        <w:spacing w:before="0" w:after="283"/>
        <w:jc w:val="start"/>
        <w:rPr/>
      </w:pPr>
      <w:r>
        <w:rPr/>
        <w:t xml:space="preserve">• </w:t>
      </w:r>
      <w:r>
        <w:rPr/>
        <w:t xml:space="preserve">Iron </w:t>
      </w:r>
    </w:p>
    <w:p>
      <w:pPr>
        <w:pStyle w:val="TextBody"/>
        <w:bidi w:val="0"/>
        <w:spacing w:before="0" w:after="283"/>
        <w:jc w:val="start"/>
        <w:rPr/>
      </w:pPr>
      <w:r>
        <w:rPr/>
        <w:t xml:space="preserve">• </w:t>
      </w:r>
      <w:r>
        <w:rPr/>
        <w:t xml:space="preserve">Electric Fans </w:t>
      </w:r>
    </w:p>
    <w:p>
      <w:pPr>
        <w:pStyle w:val="TextBody"/>
        <w:bidi w:val="0"/>
        <w:spacing w:before="0" w:after="283"/>
        <w:jc w:val="start"/>
        <w:rPr/>
      </w:pPr>
      <w:r>
        <w:rPr/>
        <w:t xml:space="preserve">• </w:t>
      </w:r>
      <w:r>
        <w:rPr/>
        <w:t xml:space="preserve">Cooking Range </w:t>
      </w:r>
    </w:p>
    <w:p>
      <w:pPr>
        <w:pStyle w:val="TextBody"/>
        <w:bidi w:val="0"/>
        <w:spacing w:before="0" w:after="283"/>
        <w:jc w:val="start"/>
        <w:rPr/>
      </w:pPr>
      <w:r>
        <w:rPr/>
        <w:t xml:space="preserve">• </w:t>
      </w:r>
      <w:r>
        <w:rPr/>
        <w:t xml:space="preserve">Chimneys </w:t>
      </w:r>
    </w:p>
    <w:p>
      <w:pPr>
        <w:pStyle w:val="Heading3"/>
        <w:bidi w:val="0"/>
        <w:jc w:val="start"/>
        <w:rPr/>
      </w:pPr>
      <w:r>
        <w:rPr/>
        <w:t xml:space="preserve">Consumer Electronics </w:t>
      </w:r>
    </w:p>
    <w:p>
      <w:pPr>
        <w:pStyle w:val="TextBody"/>
        <w:bidi w:val="0"/>
        <w:spacing w:before="0" w:after="283"/>
        <w:jc w:val="start"/>
        <w:rPr/>
      </w:pPr>
      <w:r>
        <w:rPr/>
        <w:t xml:space="preserve">• </w:t>
      </w:r>
      <w:r>
        <w:rPr/>
        <w:t xml:space="preserve">Mobile Phones </w:t>
      </w:r>
    </w:p>
    <w:p>
      <w:pPr>
        <w:pStyle w:val="TextBody"/>
        <w:bidi w:val="0"/>
        <w:spacing w:before="0" w:after="283"/>
        <w:jc w:val="start"/>
        <w:rPr/>
      </w:pPr>
      <w:r>
        <w:rPr/>
        <w:t xml:space="preserve">• </w:t>
      </w:r>
      <w:r>
        <w:rPr/>
        <w:t xml:space="preserve">Televisions </w:t>
      </w:r>
    </w:p>
    <w:p>
      <w:pPr>
        <w:pStyle w:val="TextBody"/>
        <w:bidi w:val="0"/>
        <w:spacing w:before="0" w:after="283"/>
        <w:jc w:val="start"/>
        <w:rPr/>
      </w:pPr>
      <w:r>
        <w:rPr/>
        <w:t xml:space="preserve">• </w:t>
      </w:r>
      <w:r>
        <w:rPr/>
        <w:t xml:space="preserve">MP3 Players </w:t>
      </w:r>
    </w:p>
    <w:p>
      <w:pPr>
        <w:pStyle w:val="TextBody"/>
        <w:bidi w:val="0"/>
        <w:spacing w:before="0" w:after="283"/>
        <w:jc w:val="start"/>
        <w:rPr/>
      </w:pPr>
      <w:r>
        <w:rPr/>
        <w:t xml:space="preserve">• </w:t>
      </w:r>
      <w:r>
        <w:rPr/>
        <w:t xml:space="preserve">DVD Players </w:t>
      </w:r>
    </w:p>
    <w:p>
      <w:pPr>
        <w:pStyle w:val="TextBody"/>
        <w:bidi w:val="0"/>
        <w:spacing w:before="0" w:after="283"/>
        <w:jc w:val="start"/>
        <w:rPr/>
      </w:pPr>
      <w:r>
        <w:rPr/>
        <w:t xml:space="preserve">• </w:t>
      </w:r>
      <w:r>
        <w:rPr/>
        <w:t xml:space="preserve">VCD Players </w:t>
      </w:r>
    </w:p>
    <w:p>
      <w:pPr>
        <w:pStyle w:val="TextBody"/>
        <w:bidi w:val="0"/>
        <w:spacing w:before="0" w:after="283"/>
        <w:jc w:val="start"/>
        <w:rPr/>
      </w:pPr>
      <w:r>
        <w:rPr/>
        <w:t xml:space="preserve">Several key trends are driving growth in the sector. They are- </w:t>
      </w:r>
    </w:p>
    <w:p>
      <w:pPr>
        <w:pStyle w:val="Heading3"/>
        <w:bidi w:val="0"/>
        <w:jc w:val="start"/>
        <w:rPr/>
      </w:pPr>
      <w:r>
        <w:rPr/>
        <w:t xml:space="preserve">Income growth and availability of financing </w:t>
      </w:r>
    </w:p>
    <w:p>
      <w:pPr>
        <w:pStyle w:val="TextBody"/>
        <w:bidi w:val="0"/>
        <w:spacing w:before="0" w:after="283"/>
        <w:jc w:val="start"/>
        <w:rPr/>
      </w:pPr>
      <w:r>
        <w:rPr/>
        <w:t xml:space="preserve">• </w:t>
      </w:r>
      <w:r>
        <w:rPr/>
        <w:t xml:space="preserve">Disposable income levels are rising and consumer financing has become easier </w:t>
      </w:r>
    </w:p>
    <w:p>
      <w:pPr>
        <w:pStyle w:val="Heading3"/>
        <w:bidi w:val="0"/>
        <w:jc w:val="start"/>
        <w:rPr/>
      </w:pPr>
      <w:r>
        <w:rPr/>
        <w:t xml:space="preserve">Increased affordability of products </w:t>
      </w:r>
    </w:p>
    <w:p>
      <w:pPr>
        <w:pStyle w:val="TextBody"/>
        <w:bidi w:val="0"/>
        <w:spacing w:before="0" w:after="283"/>
        <w:jc w:val="start"/>
        <w:rPr/>
      </w:pPr>
      <w:r>
        <w:rPr/>
        <w:t xml:space="preserve">• </w:t>
      </w:r>
      <w:r>
        <w:rPr/>
        <w:t xml:space="preserve">Advanced technology and increasing competition is narrowing the price gap and appliances which were once expensive are becoming cheaper </w:t>
      </w:r>
    </w:p>
    <w:p>
      <w:pPr>
        <w:pStyle w:val="Heading3"/>
        <w:bidi w:val="0"/>
        <w:jc w:val="start"/>
        <w:rPr/>
      </w:pPr>
      <w:r>
        <w:rPr/>
        <w:t xml:space="preserve">Increasing share of organised retail sector </w:t>
      </w:r>
    </w:p>
    <w:p>
      <w:pPr>
        <w:pStyle w:val="TextBody"/>
        <w:bidi w:val="0"/>
        <w:spacing w:before="0" w:after="283"/>
        <w:jc w:val="start"/>
        <w:rPr/>
      </w:pPr>
      <w:r>
        <w:rPr/>
        <w:t xml:space="preserve">• </w:t>
      </w:r>
      <w:r>
        <w:rPr/>
        <w:t xml:space="preserve">Urban and rural market are growing at the annual rates of seven percent to 10 per cent and 25 percent respectively with organised retail expected to garner about 15 per cent share by 2015 from the current 5 percent </w:t>
      </w:r>
    </w:p>
    <w:p>
      <w:pPr>
        <w:pStyle w:val="Heading3"/>
        <w:bidi w:val="0"/>
        <w:jc w:val="start"/>
        <w:rPr/>
      </w:pPr>
      <w:r>
        <w:rPr/>
        <w:t xml:space="preserve">Entry of heavyweight retail players is increasing competition </w:t>
      </w:r>
    </w:p>
    <w:p>
      <w:pPr>
        <w:pStyle w:val="TextBody"/>
        <w:bidi w:val="0"/>
        <w:spacing w:before="0" w:after="283"/>
        <w:jc w:val="start"/>
        <w:rPr/>
      </w:pPr>
      <w:r>
        <w:rPr/>
        <w:t xml:space="preserve">• </w:t>
      </w:r>
      <w:r>
        <w:rPr/>
        <w:t xml:space="preserve">Competitive evolution of organised retail due to the entry of heavyweight players like Croma, EZone and Reliance Digital is stimulating the demand through Exposure to experiences </w:t>
      </w:r>
    </w:p>
    <w:p>
      <w:pPr>
        <w:pStyle w:val="TextBody"/>
        <w:bidi w:val="0"/>
        <w:spacing w:before="0" w:after="283"/>
        <w:jc w:val="start"/>
        <w:rPr/>
      </w:pPr>
      <w:r>
        <w:rPr/>
        <w:t xml:space="preserve">Consumer Durables is one of the fastest growing industries in India. A strong growth is expected across all key segments- </w:t>
      </w:r>
    </w:p>
    <w:p>
      <w:pPr>
        <w:pStyle w:val="TextBody"/>
        <w:bidi w:val="0"/>
        <w:spacing w:before="0" w:after="283"/>
        <w:jc w:val="start"/>
        <w:rPr/>
      </w:pPr>
      <w:r>
        <w:rPr/>
        <w:t xml:space="preserve">Projected Growth Rates </w:t>
      </w:r>
    </w:p>
    <w:tbl>
      <w:tblPr>
        <w:tblW w:w="4562" w:type="dxa"/>
        <w:jc w:val="start"/>
        <w:tblInd w:w="0" w:type="dxa"/>
        <w:tblLayout w:type="fixed"/>
        <w:tblCellMar>
          <w:top w:w="28" w:type="dxa"/>
          <w:start w:w="28" w:type="dxa"/>
          <w:bottom w:w="28" w:type="dxa"/>
          <w:end w:w="28" w:type="dxa"/>
        </w:tblCellMar>
      </w:tblPr>
      <w:tblGrid>
        <w:gridCol w:w="3601"/>
        <w:gridCol w:w="961"/>
      </w:tblGrid>
      <w:tr>
        <w:trPr/>
        <w:tc>
          <w:tcPr>
            <w:tcW w:w="3601" w:type="dxa"/>
            <w:tcBorders/>
            <w:vAlign w:val="center"/>
          </w:tcPr>
          <w:p>
            <w:pPr>
              <w:pStyle w:val="TableContents"/>
              <w:bidi w:val="0"/>
              <w:spacing w:before="0" w:after="283"/>
              <w:jc w:val="start"/>
              <w:rPr/>
            </w:pPr>
            <w:r>
              <w:rPr/>
              <w:t xml:space="preserve">Colour TVs </w:t>
            </w:r>
          </w:p>
        </w:tc>
        <w:tc>
          <w:tcPr>
            <w:tcW w:w="961" w:type="dxa"/>
            <w:tcBorders/>
            <w:vAlign w:val="center"/>
          </w:tcPr>
          <w:p>
            <w:pPr>
              <w:pStyle w:val="TableContents"/>
              <w:bidi w:val="0"/>
              <w:spacing w:before="0" w:after="283"/>
              <w:jc w:val="start"/>
              <w:rPr/>
            </w:pPr>
            <w:r>
              <w:rPr/>
              <w:t xml:space="preserve">25-30% </w:t>
            </w:r>
          </w:p>
        </w:tc>
      </w:tr>
      <w:tr>
        <w:trPr/>
        <w:tc>
          <w:tcPr>
            <w:tcW w:w="3601" w:type="dxa"/>
            <w:tcBorders/>
            <w:vAlign w:val="center"/>
          </w:tcPr>
          <w:p>
            <w:pPr>
              <w:pStyle w:val="TableContents"/>
              <w:bidi w:val="0"/>
              <w:spacing w:before="0" w:after="283"/>
              <w:jc w:val="start"/>
              <w:rPr/>
            </w:pPr>
            <w:r>
              <w:rPr/>
              <w:t xml:space="preserve">Refrigerators </w:t>
            </w:r>
          </w:p>
        </w:tc>
        <w:tc>
          <w:tcPr>
            <w:tcW w:w="961" w:type="dxa"/>
            <w:tcBorders/>
            <w:vAlign w:val="center"/>
          </w:tcPr>
          <w:p>
            <w:pPr>
              <w:pStyle w:val="TableContents"/>
              <w:bidi w:val="0"/>
              <w:spacing w:before="0" w:after="283"/>
              <w:jc w:val="start"/>
              <w:rPr/>
            </w:pPr>
            <w:r>
              <w:rPr/>
              <w:t xml:space="preserve">18-22% </w:t>
            </w:r>
          </w:p>
        </w:tc>
      </w:tr>
      <w:tr>
        <w:trPr/>
        <w:tc>
          <w:tcPr>
            <w:tcW w:w="3601" w:type="dxa"/>
            <w:tcBorders/>
            <w:vAlign w:val="center"/>
          </w:tcPr>
          <w:p>
            <w:pPr>
              <w:pStyle w:val="TableContents"/>
              <w:bidi w:val="0"/>
              <w:spacing w:before="0" w:after="283"/>
              <w:jc w:val="start"/>
              <w:rPr/>
            </w:pPr>
            <w:r>
              <w:rPr/>
              <w:t xml:space="preserve">Washing Machines </w:t>
            </w:r>
          </w:p>
        </w:tc>
        <w:tc>
          <w:tcPr>
            <w:tcW w:w="961" w:type="dxa"/>
            <w:tcBorders/>
            <w:vAlign w:val="center"/>
          </w:tcPr>
          <w:p>
            <w:pPr>
              <w:pStyle w:val="TableContents"/>
              <w:bidi w:val="0"/>
              <w:spacing w:before="0" w:after="283"/>
              <w:jc w:val="start"/>
              <w:rPr/>
            </w:pPr>
            <w:r>
              <w:rPr/>
              <w:t xml:space="preserve">15-20% </w:t>
            </w:r>
          </w:p>
        </w:tc>
      </w:tr>
      <w:tr>
        <w:trPr/>
        <w:tc>
          <w:tcPr>
            <w:tcW w:w="3601" w:type="dxa"/>
            <w:tcBorders/>
            <w:vAlign w:val="center"/>
          </w:tcPr>
          <w:p>
            <w:pPr>
              <w:pStyle w:val="TableContents"/>
              <w:bidi w:val="0"/>
              <w:spacing w:before="0" w:after="283"/>
              <w:jc w:val="start"/>
              <w:rPr/>
            </w:pPr>
            <w:r>
              <w:rPr/>
              <w:t xml:space="preserve">Air Conditioners </w:t>
            </w:r>
          </w:p>
        </w:tc>
        <w:tc>
          <w:tcPr>
            <w:tcW w:w="961" w:type="dxa"/>
            <w:tcBorders/>
            <w:vAlign w:val="center"/>
          </w:tcPr>
          <w:p>
            <w:pPr>
              <w:pStyle w:val="TableContents"/>
              <w:bidi w:val="0"/>
              <w:spacing w:before="0" w:after="283"/>
              <w:jc w:val="start"/>
              <w:rPr/>
            </w:pPr>
            <w:r>
              <w:rPr/>
              <w:t xml:space="preserve">32-35% </w:t>
            </w:r>
          </w:p>
        </w:tc>
      </w:tr>
      <w:tr>
        <w:trPr/>
        <w:tc>
          <w:tcPr>
            <w:tcW w:w="3601" w:type="dxa"/>
            <w:tcBorders/>
            <w:vAlign w:val="center"/>
          </w:tcPr>
          <w:p>
            <w:pPr>
              <w:pStyle w:val="TableContents"/>
              <w:bidi w:val="0"/>
              <w:spacing w:before="0" w:after="283"/>
              <w:jc w:val="start"/>
              <w:rPr/>
            </w:pPr>
            <w:r>
              <w:rPr/>
              <w:t xml:space="preserve">Others (including VCDs and DVDs </w:t>
            </w:r>
          </w:p>
        </w:tc>
        <w:tc>
          <w:tcPr>
            <w:tcW w:w="961" w:type="dxa"/>
            <w:tcBorders/>
            <w:vAlign w:val="center"/>
          </w:tcPr>
          <w:p>
            <w:pPr>
              <w:pStyle w:val="TableContents"/>
              <w:bidi w:val="0"/>
              <w:spacing w:before="0" w:after="283"/>
              <w:jc w:val="start"/>
              <w:rPr/>
            </w:pPr>
            <w:r>
              <w:rPr/>
              <w:t xml:space="preserve">35-40% </w:t>
            </w:r>
          </w:p>
        </w:tc>
      </w:tr>
    </w:tbl>
    <w:p>
      <w:pPr>
        <w:pStyle w:val="TextBody"/>
        <w:bidi w:val="0"/>
        <w:spacing w:before="0" w:after="283"/>
        <w:jc w:val="start"/>
        <w:rPr/>
      </w:pPr>
      <w:r>
        <w:rPr/>
        <w:t xml:space="preserve">(CONSUMER DURABLES December 2008) </w:t>
      </w:r>
    </w:p>
    <w:p>
      <w:pPr>
        <w:pStyle w:val="Heading3"/>
        <w:bidi w:val="0"/>
        <w:jc w:val="start"/>
        <w:rPr/>
      </w:pPr>
      <w:r>
        <w:rPr/>
        <w:t xml:space="preserve">Overall, the sector is a dynamic one, with significant growth opportunities- </w:t>
      </w:r>
    </w:p>
    <w:p>
      <w:pPr>
        <w:pStyle w:val="Heading3"/>
        <w:bidi w:val="0"/>
        <w:jc w:val="start"/>
        <w:rPr/>
      </w:pPr>
      <w:r>
        <w:rPr/>
        <w:t xml:space="preserve">Threat of New Entrants </w:t>
      </w:r>
    </w:p>
    <w:p>
      <w:pPr>
        <w:pStyle w:val="TextBody"/>
        <w:bidi w:val="0"/>
        <w:spacing w:before="0" w:after="283"/>
        <w:jc w:val="start"/>
        <w:rPr/>
      </w:pPr>
      <w:r>
        <w:rPr/>
        <w:t xml:space="preserve">• </w:t>
      </w:r>
      <w:r>
        <w:rPr/>
        <w:t xml:space="preserve">Most current players are global players </w:t>
      </w:r>
    </w:p>
    <w:p>
      <w:pPr>
        <w:pStyle w:val="TextBody"/>
        <w:bidi w:val="0"/>
        <w:spacing w:before="0" w:after="283"/>
        <w:jc w:val="start"/>
        <w:rPr/>
      </w:pPr>
      <w:r>
        <w:rPr/>
        <w:t xml:space="preserve">• </w:t>
      </w:r>
      <w:r>
        <w:rPr/>
        <w:t xml:space="preserve">New entrants will need to invest in Brand, Technology and Distribution </w:t>
      </w:r>
    </w:p>
    <w:p>
      <w:pPr>
        <w:pStyle w:val="Heading3"/>
        <w:bidi w:val="0"/>
        <w:jc w:val="start"/>
        <w:rPr/>
      </w:pPr>
      <w:r>
        <w:rPr/>
        <w:t xml:space="preserve">Supplier Power </w:t>
      </w:r>
    </w:p>
    <w:p>
      <w:pPr>
        <w:pStyle w:val="TextBody"/>
        <w:bidi w:val="0"/>
        <w:spacing w:before="0" w:after="283"/>
        <w:jc w:val="start"/>
        <w:rPr/>
      </w:pPr>
      <w:r>
        <w:rPr/>
        <w:t xml:space="preserve">• </w:t>
      </w:r>
      <w:r>
        <w:rPr/>
        <w:t xml:space="preserve">Indigenous supply base limited – most raw materials are imported </w:t>
      </w:r>
    </w:p>
    <w:p>
      <w:pPr>
        <w:pStyle w:val="Heading3"/>
        <w:bidi w:val="0"/>
        <w:jc w:val="start"/>
        <w:rPr/>
      </w:pPr>
      <w:r>
        <w:rPr/>
        <w:t xml:space="preserve">Competitive Rivalry </w:t>
      </w:r>
    </w:p>
    <w:p>
      <w:pPr>
        <w:pStyle w:val="TextBody"/>
        <w:bidi w:val="0"/>
        <w:spacing w:before="0" w:after="283"/>
        <w:jc w:val="start"/>
        <w:rPr/>
      </w:pPr>
      <w:r>
        <w:rPr/>
        <w:t xml:space="preserve">• </w:t>
      </w:r>
      <w:r>
        <w:rPr/>
        <w:t xml:space="preserve">Number of well established players, with new players entering </w:t>
      </w:r>
    </w:p>
    <w:p>
      <w:pPr>
        <w:pStyle w:val="TextBody"/>
        <w:bidi w:val="0"/>
        <w:spacing w:before="0" w:after="283"/>
        <w:jc w:val="start"/>
        <w:rPr/>
      </w:pPr>
      <w:r>
        <w:rPr/>
        <w:t xml:space="preserve">• </w:t>
      </w:r>
      <w:r>
        <w:rPr/>
        <w:t xml:space="preserve">Good technological capability </w:t>
      </w:r>
    </w:p>
    <w:p>
      <w:pPr>
        <w:pStyle w:val="TextBody"/>
        <w:bidi w:val="0"/>
        <w:spacing w:before="0" w:after="283"/>
        <w:jc w:val="start"/>
        <w:rPr/>
      </w:pPr>
      <w:r>
        <w:rPr/>
        <w:t xml:space="preserve">• </w:t>
      </w:r>
      <w:r>
        <w:rPr/>
        <w:t xml:space="preserve">Many untapped potential markets </w:t>
      </w:r>
    </w:p>
    <w:p>
      <w:pPr>
        <w:pStyle w:val="TextBody"/>
        <w:bidi w:val="0"/>
        <w:spacing w:before="0" w:after="283"/>
        <w:jc w:val="start"/>
        <w:rPr/>
      </w:pPr>
      <w:r>
        <w:rPr/>
        <w:t xml:space="preserve">Several global players are well established in the Consumer Durables sector in India, with competition from strong Indian players. Some of the key players in the sector in India include: </w:t>
      </w:r>
    </w:p>
    <w:p>
      <w:pPr>
        <w:pStyle w:val="TextBody"/>
        <w:bidi w:val="0"/>
        <w:spacing w:before="0" w:after="283"/>
        <w:jc w:val="start"/>
        <w:rPr/>
      </w:pPr>
      <w:r>
        <w:rPr/>
        <w:t xml:space="preserve">• </w:t>
      </w:r>
      <w:r>
        <w:rPr/>
        <w:t xml:space="preserve">Samsung </w:t>
      </w:r>
    </w:p>
    <w:p>
      <w:pPr>
        <w:pStyle w:val="TextBody"/>
        <w:bidi w:val="0"/>
        <w:spacing w:before="0" w:after="283"/>
        <w:jc w:val="start"/>
        <w:rPr/>
      </w:pPr>
      <w:r>
        <w:rPr/>
        <w:t xml:space="preserve">• </w:t>
      </w:r>
      <w:r>
        <w:rPr/>
        <w:t xml:space="preserve">Philips </w:t>
      </w:r>
    </w:p>
    <w:p>
      <w:pPr>
        <w:pStyle w:val="TextBody"/>
        <w:bidi w:val="0"/>
        <w:spacing w:before="0" w:after="283"/>
        <w:jc w:val="start"/>
        <w:rPr/>
      </w:pPr>
      <w:r>
        <w:rPr/>
        <w:t xml:space="preserve">• </w:t>
      </w:r>
      <w:r>
        <w:rPr/>
        <w:t xml:space="preserve">LG </w:t>
      </w:r>
    </w:p>
    <w:p>
      <w:pPr>
        <w:pStyle w:val="TextBody"/>
        <w:bidi w:val="0"/>
        <w:spacing w:before="0" w:after="283"/>
        <w:jc w:val="start"/>
        <w:rPr/>
      </w:pPr>
      <w:r>
        <w:rPr/>
        <w:t xml:space="preserve">• </w:t>
      </w:r>
      <w:r>
        <w:rPr/>
        <w:t xml:space="preserve">Whirlpool </w:t>
      </w:r>
    </w:p>
    <w:p>
      <w:pPr>
        <w:pStyle w:val="TextBody"/>
        <w:bidi w:val="0"/>
        <w:spacing w:before="0" w:after="283"/>
        <w:jc w:val="start"/>
        <w:rPr/>
      </w:pPr>
      <w:r>
        <w:rPr/>
        <w:t xml:space="preserve">• </w:t>
      </w:r>
      <w:r>
        <w:rPr/>
        <w:t xml:space="preserve">Nokia </w:t>
      </w:r>
    </w:p>
    <w:p>
      <w:pPr>
        <w:pStyle w:val="TextBody"/>
        <w:bidi w:val="0"/>
        <w:spacing w:before="0" w:after="283"/>
        <w:jc w:val="start"/>
        <w:rPr/>
      </w:pPr>
      <w:r>
        <w:rPr/>
        <w:t xml:space="preserve">• </w:t>
      </w:r>
      <w:r>
        <w:rPr/>
        <w:t xml:space="preserve">Sony </w:t>
      </w:r>
    </w:p>
    <w:p>
      <w:pPr>
        <w:pStyle w:val="TextBody"/>
        <w:bidi w:val="0"/>
        <w:spacing w:before="0" w:after="283"/>
        <w:jc w:val="start"/>
        <w:rPr/>
      </w:pPr>
      <w:r>
        <w:rPr/>
        <w:t xml:space="preserve">Table 2 Estimates of the Impact of Price, Income and Efficiency on Automobile and Appliance Sales </w:t>
      </w:r>
    </w:p>
    <w:tbl>
      <w:tblPr>
        <w:tblW w:w="8348" w:type="dxa"/>
        <w:jc w:val="start"/>
        <w:tblInd w:w="0" w:type="dxa"/>
        <w:tblLayout w:type="fixed"/>
        <w:tblCellMar>
          <w:top w:w="28" w:type="dxa"/>
          <w:start w:w="28" w:type="dxa"/>
          <w:bottom w:w="28" w:type="dxa"/>
          <w:end w:w="28" w:type="dxa"/>
        </w:tblCellMar>
      </w:tblPr>
      <w:tblGrid>
        <w:gridCol w:w="1471"/>
        <w:gridCol w:w="976"/>
        <w:gridCol w:w="976"/>
        <w:gridCol w:w="976"/>
        <w:gridCol w:w="961"/>
        <w:gridCol w:w="1561"/>
        <w:gridCol w:w="661"/>
        <w:gridCol w:w="766"/>
      </w:tblGrid>
      <w:tr>
        <w:trPr/>
        <w:tc>
          <w:tcPr>
            <w:tcW w:w="1471" w:type="dxa"/>
            <w:tcBorders/>
            <w:vAlign w:val="center"/>
          </w:tcPr>
          <w:p>
            <w:pPr>
              <w:pStyle w:val="TableContents"/>
              <w:bidi w:val="0"/>
              <w:spacing w:before="0" w:after="283"/>
              <w:jc w:val="start"/>
              <w:rPr/>
            </w:pPr>
            <w:r>
              <w:rPr/>
              <w:t xml:space="preserve">Durable Good </w:t>
            </w:r>
          </w:p>
        </w:tc>
        <w:tc>
          <w:tcPr>
            <w:tcW w:w="976" w:type="dxa"/>
            <w:tcBorders/>
            <w:vAlign w:val="center"/>
          </w:tcPr>
          <w:p>
            <w:pPr>
              <w:pStyle w:val="TableContents"/>
              <w:bidi w:val="0"/>
              <w:spacing w:before="0" w:after="283"/>
              <w:jc w:val="start"/>
              <w:rPr/>
            </w:pPr>
            <w:r>
              <w:rPr/>
              <w:t xml:space="preserve">Price Elasticity </w:t>
            </w:r>
          </w:p>
        </w:tc>
        <w:tc>
          <w:tcPr>
            <w:tcW w:w="976" w:type="dxa"/>
            <w:tcBorders/>
            <w:vAlign w:val="center"/>
          </w:tcPr>
          <w:p>
            <w:pPr>
              <w:pStyle w:val="TableContents"/>
              <w:bidi w:val="0"/>
              <w:spacing w:before="0" w:after="283"/>
              <w:jc w:val="start"/>
              <w:rPr/>
            </w:pPr>
            <w:r>
              <w:rPr/>
              <w:t xml:space="preserve">Income Elasticity </w:t>
            </w:r>
          </w:p>
        </w:tc>
        <w:tc>
          <w:tcPr>
            <w:tcW w:w="976" w:type="dxa"/>
            <w:tcBorders/>
            <w:vAlign w:val="center"/>
          </w:tcPr>
          <w:p>
            <w:pPr>
              <w:pStyle w:val="TableContents"/>
              <w:bidi w:val="0"/>
              <w:spacing w:before="0" w:after="283"/>
              <w:jc w:val="start"/>
              <w:rPr/>
            </w:pPr>
            <w:r>
              <w:rPr/>
              <w:t xml:space="preserve">Brand Price Elasticity </w:t>
            </w:r>
          </w:p>
        </w:tc>
        <w:tc>
          <w:tcPr>
            <w:tcW w:w="961" w:type="dxa"/>
            <w:tcBorders/>
            <w:vAlign w:val="center"/>
          </w:tcPr>
          <w:p>
            <w:pPr>
              <w:pStyle w:val="TableContents"/>
              <w:bidi w:val="0"/>
              <w:spacing w:before="0" w:after="283"/>
              <w:jc w:val="start"/>
              <w:rPr/>
            </w:pPr>
            <w:r>
              <w:rPr/>
              <w:t xml:space="preserve">Implicit Discount Rate </w:t>
            </w:r>
          </w:p>
        </w:tc>
        <w:tc>
          <w:tcPr>
            <w:tcW w:w="1561" w:type="dxa"/>
            <w:tcBorders/>
            <w:vAlign w:val="center"/>
          </w:tcPr>
          <w:p>
            <w:pPr>
              <w:pStyle w:val="TableContents"/>
              <w:bidi w:val="0"/>
              <w:spacing w:before="0" w:after="283"/>
              <w:jc w:val="start"/>
              <w:rPr/>
            </w:pPr>
            <w:r>
              <w:rPr/>
              <w:t xml:space="preserve">Model </w:t>
            </w:r>
          </w:p>
        </w:tc>
        <w:tc>
          <w:tcPr>
            <w:tcW w:w="661" w:type="dxa"/>
            <w:tcBorders/>
            <w:vAlign w:val="center"/>
          </w:tcPr>
          <w:p>
            <w:pPr>
              <w:pStyle w:val="TableContents"/>
              <w:bidi w:val="0"/>
              <w:spacing w:before="0" w:after="283"/>
              <w:jc w:val="start"/>
              <w:rPr/>
            </w:pPr>
            <w:r>
              <w:rPr/>
              <w:t xml:space="preserve">Data Years </w:t>
            </w:r>
          </w:p>
        </w:tc>
        <w:tc>
          <w:tcPr>
            <w:tcW w:w="766" w:type="dxa"/>
            <w:tcBorders/>
            <w:vAlign w:val="center"/>
          </w:tcPr>
          <w:p>
            <w:pPr>
              <w:pStyle w:val="TableContents"/>
              <w:bidi w:val="0"/>
              <w:spacing w:before="0" w:after="283"/>
              <w:jc w:val="start"/>
              <w:rPr/>
            </w:pPr>
            <w:r>
              <w:rPr/>
              <w:t xml:space="preserve">Time Period </w:t>
            </w:r>
          </w:p>
        </w:tc>
      </w:tr>
      <w:tr>
        <w:trPr/>
        <w:tc>
          <w:tcPr>
            <w:tcW w:w="1471" w:type="dxa"/>
            <w:tcBorders/>
            <w:vAlign w:val="center"/>
          </w:tcPr>
          <w:p>
            <w:pPr>
              <w:pStyle w:val="TableContents"/>
              <w:bidi w:val="0"/>
              <w:spacing w:before="0" w:after="283"/>
              <w:jc w:val="start"/>
              <w:rPr/>
            </w:pPr>
            <w:r>
              <w:rPr/>
              <w:t xml:space="preserve">Automobiles1 </w:t>
            </w:r>
          </w:p>
        </w:tc>
        <w:tc>
          <w:tcPr>
            <w:tcW w:w="976" w:type="dxa"/>
            <w:tcBorders/>
            <w:vAlign w:val="center"/>
          </w:tcPr>
          <w:p>
            <w:pPr>
              <w:pStyle w:val="TableContents"/>
              <w:bidi w:val="0"/>
              <w:spacing w:before="0" w:after="283"/>
              <w:jc w:val="start"/>
              <w:rPr/>
            </w:pPr>
            <w:r>
              <w:rPr/>
              <w:t xml:space="preserve">-1. 07 </w:t>
            </w:r>
          </w:p>
        </w:tc>
        <w:tc>
          <w:tcPr>
            <w:tcW w:w="976" w:type="dxa"/>
            <w:tcBorders/>
            <w:vAlign w:val="center"/>
          </w:tcPr>
          <w:p>
            <w:pPr>
              <w:pStyle w:val="TableContents"/>
              <w:bidi w:val="0"/>
              <w:spacing w:before="0" w:after="283"/>
              <w:jc w:val="start"/>
              <w:rPr/>
            </w:pPr>
            <w:r>
              <w:rPr/>
              <w:t xml:space="preserve">3. 08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Linear Regression, stock adjustment </w:t>
            </w:r>
          </w:p>
        </w:tc>
        <w:tc>
          <w:tcPr>
            <w:tcW w:w="661" w:type="dxa"/>
            <w:tcBorders/>
            <w:vAlign w:val="center"/>
          </w:tcPr>
          <w:p>
            <w:pPr>
              <w:pStyle w:val="TableContents"/>
              <w:bidi w:val="0"/>
              <w:spacing w:before="0" w:after="283"/>
              <w:jc w:val="start"/>
              <w:rPr/>
            </w:pPr>
            <w:r>
              <w:rPr/>
              <w:t xml:space="preserve">– </w:t>
            </w:r>
          </w:p>
        </w:tc>
        <w:tc>
          <w:tcPr>
            <w:tcW w:w="766" w:type="dxa"/>
            <w:tcBorders/>
            <w:vAlign w:val="center"/>
          </w:tcPr>
          <w:p>
            <w:pPr>
              <w:pStyle w:val="TableContents"/>
              <w:bidi w:val="0"/>
              <w:spacing w:before="0" w:after="283"/>
              <w:jc w:val="start"/>
              <w:rPr/>
            </w:pPr>
            <w:r>
              <w:rPr/>
              <w:t xml:space="preserve">Short run </w:t>
            </w:r>
          </w:p>
        </w:tc>
      </w:tr>
      <w:tr>
        <w:trPr/>
        <w:tc>
          <w:tcPr>
            <w:tcW w:w="1471" w:type="dxa"/>
            <w:tcBorders/>
            <w:vAlign w:val="center"/>
          </w:tcPr>
          <w:p>
            <w:pPr>
              <w:pStyle w:val="TableContents"/>
              <w:bidi w:val="0"/>
              <w:spacing w:before="0" w:after="283"/>
              <w:jc w:val="start"/>
              <w:rPr/>
            </w:pPr>
            <w:r>
              <w:rPr/>
              <w:t xml:space="preserve">Automobiles1 </w:t>
            </w:r>
          </w:p>
        </w:tc>
        <w:tc>
          <w:tcPr>
            <w:tcW w:w="976" w:type="dxa"/>
            <w:tcBorders/>
            <w:vAlign w:val="center"/>
          </w:tcPr>
          <w:p>
            <w:pPr>
              <w:pStyle w:val="TableContents"/>
              <w:bidi w:val="0"/>
              <w:spacing w:before="0" w:after="283"/>
              <w:jc w:val="start"/>
              <w:rPr/>
            </w:pPr>
            <w:r>
              <w:rPr/>
              <w:t xml:space="preserve">-0. 36 </w:t>
            </w:r>
          </w:p>
        </w:tc>
        <w:tc>
          <w:tcPr>
            <w:tcW w:w="976" w:type="dxa"/>
            <w:tcBorders/>
            <w:vAlign w:val="center"/>
          </w:tcPr>
          <w:p>
            <w:pPr>
              <w:pStyle w:val="TableContents"/>
              <w:bidi w:val="0"/>
              <w:spacing w:before="0" w:after="283"/>
              <w:jc w:val="start"/>
              <w:rPr/>
            </w:pPr>
            <w:r>
              <w:rPr/>
              <w:t xml:space="preserve">1. 02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Linear Regression, stock adjustment </w:t>
            </w:r>
          </w:p>
        </w:tc>
        <w:tc>
          <w:tcPr>
            <w:tcW w:w="661" w:type="dxa"/>
            <w:tcBorders/>
            <w:vAlign w:val="center"/>
          </w:tcPr>
          <w:p>
            <w:pPr>
              <w:pStyle w:val="TableContents"/>
              <w:bidi w:val="0"/>
              <w:spacing w:before="0" w:after="283"/>
              <w:jc w:val="start"/>
              <w:rPr/>
            </w:pPr>
            <w:r>
              <w:rPr/>
              <w:t xml:space="preserve">– </w:t>
            </w:r>
          </w:p>
        </w:tc>
        <w:tc>
          <w:tcPr>
            <w:tcW w:w="766" w:type="dxa"/>
            <w:tcBorders/>
            <w:vAlign w:val="center"/>
          </w:tcPr>
          <w:p>
            <w:pPr>
              <w:pStyle w:val="TableContents"/>
              <w:bidi w:val="0"/>
              <w:spacing w:before="0" w:after="283"/>
              <w:jc w:val="start"/>
              <w:rPr/>
            </w:pPr>
            <w:r>
              <w:rPr/>
              <w:t xml:space="preserve">Long run </w:t>
            </w:r>
          </w:p>
        </w:tc>
      </w:tr>
      <w:tr>
        <w:trPr/>
        <w:tc>
          <w:tcPr>
            <w:tcW w:w="1471" w:type="dxa"/>
            <w:tcBorders/>
            <w:vAlign w:val="center"/>
          </w:tcPr>
          <w:p>
            <w:pPr>
              <w:pStyle w:val="TableContents"/>
              <w:bidi w:val="0"/>
              <w:spacing w:before="0" w:after="283"/>
              <w:jc w:val="start"/>
              <w:rPr/>
            </w:pPr>
            <w:r>
              <w:rPr/>
              <w:t xml:space="preserve">Clothes Dryers2 </w:t>
            </w:r>
          </w:p>
        </w:tc>
        <w:tc>
          <w:tcPr>
            <w:tcW w:w="976" w:type="dxa"/>
            <w:tcBorders/>
            <w:vAlign w:val="center"/>
          </w:tcPr>
          <w:p>
            <w:pPr>
              <w:pStyle w:val="TableContents"/>
              <w:bidi w:val="0"/>
              <w:spacing w:before="0" w:after="283"/>
              <w:jc w:val="start"/>
              <w:rPr/>
            </w:pPr>
            <w:r>
              <w:rPr/>
              <w:t xml:space="preserve">-0. 14 </w:t>
            </w:r>
          </w:p>
        </w:tc>
        <w:tc>
          <w:tcPr>
            <w:tcW w:w="976" w:type="dxa"/>
            <w:tcBorders/>
            <w:vAlign w:val="center"/>
          </w:tcPr>
          <w:p>
            <w:pPr>
              <w:pStyle w:val="TableContents"/>
              <w:bidi w:val="0"/>
              <w:spacing w:before="0" w:after="283"/>
              <w:jc w:val="start"/>
              <w:rPr/>
            </w:pPr>
            <w:r>
              <w:rPr/>
              <w:t xml:space="preserve">0. 26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Cobb-Douglas, diffusion </w:t>
            </w:r>
          </w:p>
        </w:tc>
        <w:tc>
          <w:tcPr>
            <w:tcW w:w="661" w:type="dxa"/>
            <w:tcBorders/>
            <w:vAlign w:val="center"/>
          </w:tcPr>
          <w:p>
            <w:pPr>
              <w:pStyle w:val="TableContents"/>
              <w:bidi w:val="0"/>
              <w:spacing w:before="0" w:after="283"/>
              <w:jc w:val="start"/>
              <w:rPr/>
            </w:pPr>
            <w:r>
              <w:rPr/>
              <w:t xml:space="preserve">1947-1961 </w:t>
            </w:r>
          </w:p>
        </w:tc>
        <w:tc>
          <w:tcPr>
            <w:tcW w:w="766" w:type="dxa"/>
            <w:tcBorders/>
            <w:vAlign w:val="center"/>
          </w:tcPr>
          <w:p>
            <w:pPr>
              <w:pStyle w:val="TableContents"/>
              <w:bidi w:val="0"/>
              <w:spacing w:before="0" w:after="283"/>
              <w:jc w:val="start"/>
              <w:rPr/>
            </w:pPr>
            <w:r>
              <w:rPr/>
              <w:t xml:space="preserve">Mixed </w:t>
            </w:r>
          </w:p>
        </w:tc>
      </w:tr>
      <w:tr>
        <w:trPr/>
        <w:tc>
          <w:tcPr>
            <w:tcW w:w="1471" w:type="dxa"/>
            <w:tcBorders/>
            <w:vAlign w:val="center"/>
          </w:tcPr>
          <w:p>
            <w:pPr>
              <w:pStyle w:val="TableContents"/>
              <w:bidi w:val="0"/>
              <w:spacing w:before="0" w:after="283"/>
              <w:jc w:val="start"/>
              <w:rPr/>
            </w:pPr>
            <w:r>
              <w:rPr/>
              <w:t xml:space="preserve">Room Air Conditioners2 </w:t>
            </w:r>
          </w:p>
        </w:tc>
        <w:tc>
          <w:tcPr>
            <w:tcW w:w="976" w:type="dxa"/>
            <w:tcBorders/>
            <w:vAlign w:val="center"/>
          </w:tcPr>
          <w:p>
            <w:pPr>
              <w:pStyle w:val="TableContents"/>
              <w:bidi w:val="0"/>
              <w:spacing w:before="0" w:after="283"/>
              <w:jc w:val="start"/>
              <w:rPr/>
            </w:pPr>
            <w:r>
              <w:rPr/>
              <w:t xml:space="preserve">-0. 378 </w:t>
            </w:r>
          </w:p>
        </w:tc>
        <w:tc>
          <w:tcPr>
            <w:tcW w:w="976" w:type="dxa"/>
            <w:tcBorders/>
            <w:vAlign w:val="center"/>
          </w:tcPr>
          <w:p>
            <w:pPr>
              <w:pStyle w:val="TableContents"/>
              <w:bidi w:val="0"/>
              <w:spacing w:before="0" w:after="283"/>
              <w:jc w:val="start"/>
              <w:rPr/>
            </w:pPr>
            <w:r>
              <w:rPr/>
              <w:t xml:space="preserve">0. 45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Cobb-Douglas, diffusion </w:t>
            </w:r>
          </w:p>
        </w:tc>
        <w:tc>
          <w:tcPr>
            <w:tcW w:w="661" w:type="dxa"/>
            <w:tcBorders/>
            <w:vAlign w:val="center"/>
          </w:tcPr>
          <w:p>
            <w:pPr>
              <w:pStyle w:val="TableContents"/>
              <w:bidi w:val="0"/>
              <w:spacing w:before="0" w:after="283"/>
              <w:jc w:val="start"/>
              <w:rPr/>
            </w:pPr>
            <w:r>
              <w:rPr/>
              <w:t xml:space="preserve">1946-1962 </w:t>
            </w:r>
          </w:p>
        </w:tc>
        <w:tc>
          <w:tcPr>
            <w:tcW w:w="766" w:type="dxa"/>
            <w:tcBorders/>
            <w:vAlign w:val="center"/>
          </w:tcPr>
          <w:p>
            <w:pPr>
              <w:pStyle w:val="TableContents"/>
              <w:bidi w:val="0"/>
              <w:spacing w:before="0" w:after="283"/>
              <w:jc w:val="start"/>
              <w:rPr/>
            </w:pPr>
            <w:r>
              <w:rPr/>
              <w:t xml:space="preserve">Mixed </w:t>
            </w:r>
          </w:p>
        </w:tc>
      </w:tr>
      <w:tr>
        <w:trPr/>
        <w:tc>
          <w:tcPr>
            <w:tcW w:w="1471" w:type="dxa"/>
            <w:tcBorders/>
            <w:vAlign w:val="center"/>
          </w:tcPr>
          <w:p>
            <w:pPr>
              <w:pStyle w:val="TableContents"/>
              <w:bidi w:val="0"/>
              <w:spacing w:before="0" w:after="283"/>
              <w:jc w:val="start"/>
              <w:rPr/>
            </w:pPr>
            <w:r>
              <w:rPr/>
              <w:t xml:space="preserve">Dishwashers2 </w:t>
            </w:r>
          </w:p>
        </w:tc>
        <w:tc>
          <w:tcPr>
            <w:tcW w:w="976" w:type="dxa"/>
            <w:tcBorders/>
            <w:vAlign w:val="center"/>
          </w:tcPr>
          <w:p>
            <w:pPr>
              <w:pStyle w:val="TableContents"/>
              <w:bidi w:val="0"/>
              <w:spacing w:before="0" w:after="283"/>
              <w:jc w:val="start"/>
              <w:rPr/>
            </w:pPr>
            <w:r>
              <w:rPr/>
              <w:t xml:space="preserve">-0. 42 </w:t>
            </w:r>
          </w:p>
        </w:tc>
        <w:tc>
          <w:tcPr>
            <w:tcW w:w="976" w:type="dxa"/>
            <w:tcBorders/>
            <w:vAlign w:val="center"/>
          </w:tcPr>
          <w:p>
            <w:pPr>
              <w:pStyle w:val="TableContents"/>
              <w:bidi w:val="0"/>
              <w:spacing w:before="0" w:after="283"/>
              <w:jc w:val="start"/>
              <w:rPr/>
            </w:pPr>
            <w:r>
              <w:rPr/>
              <w:t xml:space="preserve">0. 79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Cobb-Douglas, diffusion </w:t>
            </w:r>
          </w:p>
        </w:tc>
        <w:tc>
          <w:tcPr>
            <w:tcW w:w="661" w:type="dxa"/>
            <w:tcBorders/>
            <w:vAlign w:val="center"/>
          </w:tcPr>
          <w:p>
            <w:pPr>
              <w:pStyle w:val="TableContents"/>
              <w:bidi w:val="0"/>
              <w:spacing w:before="0" w:after="283"/>
              <w:jc w:val="start"/>
              <w:rPr/>
            </w:pPr>
            <w:r>
              <w:rPr/>
              <w:t xml:space="preserve">1947-1968 </w:t>
            </w:r>
          </w:p>
        </w:tc>
        <w:tc>
          <w:tcPr>
            <w:tcW w:w="766" w:type="dxa"/>
            <w:tcBorders/>
            <w:vAlign w:val="center"/>
          </w:tcPr>
          <w:p>
            <w:pPr>
              <w:pStyle w:val="TableContents"/>
              <w:bidi w:val="0"/>
              <w:spacing w:before="0" w:after="283"/>
              <w:jc w:val="start"/>
              <w:rPr/>
            </w:pPr>
            <w:r>
              <w:rPr/>
              <w:t xml:space="preserve">Mixed </w:t>
            </w:r>
          </w:p>
        </w:tc>
      </w:tr>
      <w:tr>
        <w:trPr/>
        <w:tc>
          <w:tcPr>
            <w:tcW w:w="1471" w:type="dxa"/>
            <w:tcBorders/>
            <w:vAlign w:val="center"/>
          </w:tcPr>
          <w:p>
            <w:pPr>
              <w:pStyle w:val="TableContents"/>
              <w:bidi w:val="0"/>
              <w:spacing w:before="0" w:after="283"/>
              <w:jc w:val="start"/>
              <w:rPr/>
            </w:pPr>
            <w:r>
              <w:rPr/>
              <w:t xml:space="preserve">Refrigerators3 </w:t>
            </w:r>
          </w:p>
        </w:tc>
        <w:tc>
          <w:tcPr>
            <w:tcW w:w="976" w:type="dxa"/>
            <w:tcBorders/>
            <w:vAlign w:val="center"/>
          </w:tcPr>
          <w:p>
            <w:pPr>
              <w:pStyle w:val="TableContents"/>
              <w:bidi w:val="0"/>
              <w:spacing w:before="0" w:after="283"/>
              <w:jc w:val="start"/>
              <w:rPr/>
            </w:pPr>
            <w:r>
              <w:rPr/>
              <w:t xml:space="preserve">-0. 37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39% </w:t>
            </w:r>
          </w:p>
        </w:tc>
        <w:tc>
          <w:tcPr>
            <w:tcW w:w="1561" w:type="dxa"/>
            <w:tcBorders/>
            <w:vAlign w:val="center"/>
          </w:tcPr>
          <w:p>
            <w:pPr>
              <w:pStyle w:val="TableContents"/>
              <w:bidi w:val="0"/>
              <w:spacing w:before="0" w:after="283"/>
              <w:jc w:val="start"/>
              <w:rPr/>
            </w:pPr>
            <w:r>
              <w:rPr/>
              <w:t xml:space="preserve">Logit probability, survey data </w:t>
            </w:r>
          </w:p>
        </w:tc>
        <w:tc>
          <w:tcPr>
            <w:tcW w:w="661" w:type="dxa"/>
            <w:tcBorders/>
            <w:vAlign w:val="center"/>
          </w:tcPr>
          <w:p>
            <w:pPr>
              <w:pStyle w:val="TableContents"/>
              <w:bidi w:val="0"/>
              <w:spacing w:before="0" w:after="283"/>
              <w:jc w:val="start"/>
              <w:rPr/>
            </w:pPr>
            <w:r>
              <w:rPr/>
              <w:t xml:space="preserve">1997 </w:t>
            </w:r>
          </w:p>
        </w:tc>
        <w:tc>
          <w:tcPr>
            <w:tcW w:w="766" w:type="dxa"/>
            <w:tcBorders/>
            <w:vAlign w:val="center"/>
          </w:tcPr>
          <w:p>
            <w:pPr>
              <w:pStyle w:val="TableContents"/>
              <w:bidi w:val="0"/>
              <w:spacing w:before="0" w:after="283"/>
              <w:jc w:val="start"/>
              <w:rPr/>
            </w:pPr>
            <w:r>
              <w:rPr/>
              <w:t xml:space="preserve">Short run </w:t>
            </w:r>
          </w:p>
        </w:tc>
      </w:tr>
      <w:tr>
        <w:trPr/>
        <w:tc>
          <w:tcPr>
            <w:tcW w:w="1471" w:type="dxa"/>
            <w:tcBorders/>
            <w:vAlign w:val="center"/>
          </w:tcPr>
          <w:p>
            <w:pPr>
              <w:pStyle w:val="TableContents"/>
              <w:bidi w:val="0"/>
              <w:spacing w:before="0" w:after="283"/>
              <w:jc w:val="start"/>
              <w:rPr/>
            </w:pPr>
            <w:r>
              <w:rPr/>
              <w:t xml:space="preserve">Various4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-1. 769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Multiplicative regression </w:t>
            </w:r>
          </w:p>
        </w:tc>
        <w:tc>
          <w:tcPr>
            <w:tcW w:w="661" w:type="dxa"/>
            <w:tcBorders/>
            <w:vAlign w:val="center"/>
          </w:tcPr>
          <w:p>
            <w:pPr>
              <w:pStyle w:val="TableContents"/>
              <w:bidi w:val="0"/>
              <w:spacing w:before="0" w:after="283"/>
              <w:jc w:val="start"/>
              <w:rPr/>
            </w:pPr>
            <w:r>
              <w:rPr/>
              <w:t xml:space="preserve">– </w:t>
            </w:r>
          </w:p>
        </w:tc>
        <w:tc>
          <w:tcPr>
            <w:tcW w:w="766" w:type="dxa"/>
            <w:tcBorders/>
            <w:vAlign w:val="center"/>
          </w:tcPr>
          <w:p>
            <w:pPr>
              <w:pStyle w:val="TableContents"/>
              <w:bidi w:val="0"/>
              <w:spacing w:before="0" w:after="283"/>
              <w:jc w:val="start"/>
              <w:rPr/>
            </w:pPr>
            <w:r>
              <w:rPr/>
              <w:t xml:space="preserve">Mixed </w:t>
            </w:r>
          </w:p>
        </w:tc>
      </w:tr>
      <w:tr>
        <w:trPr/>
        <w:tc>
          <w:tcPr>
            <w:tcW w:w="1471" w:type="dxa"/>
            <w:tcBorders/>
            <w:vAlign w:val="center"/>
          </w:tcPr>
          <w:p>
            <w:pPr>
              <w:pStyle w:val="TableContents"/>
              <w:bidi w:val="0"/>
              <w:spacing w:before="0" w:after="283"/>
              <w:jc w:val="start"/>
              <w:rPr/>
            </w:pPr>
            <w:r>
              <w:rPr/>
              <w:t xml:space="preserve">Room Air Conditioners5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-1. 72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Non-linear diffusion </w:t>
            </w:r>
          </w:p>
        </w:tc>
        <w:tc>
          <w:tcPr>
            <w:tcW w:w="661" w:type="dxa"/>
            <w:tcBorders/>
            <w:vAlign w:val="center"/>
          </w:tcPr>
          <w:p>
            <w:pPr>
              <w:pStyle w:val="TableContents"/>
              <w:bidi w:val="0"/>
              <w:spacing w:before="0" w:after="283"/>
              <w:jc w:val="start"/>
              <w:rPr/>
            </w:pPr>
            <w:r>
              <w:rPr/>
              <w:t xml:space="preserve">1949-1961 </w:t>
            </w:r>
          </w:p>
        </w:tc>
        <w:tc>
          <w:tcPr>
            <w:tcW w:w="766" w:type="dxa"/>
            <w:tcBorders/>
            <w:vAlign w:val="center"/>
          </w:tcPr>
          <w:p>
            <w:pPr>
              <w:pStyle w:val="TableContents"/>
              <w:bidi w:val="0"/>
              <w:spacing w:before="0" w:after="283"/>
              <w:jc w:val="start"/>
              <w:rPr/>
            </w:pPr>
            <w:r>
              <w:rPr/>
              <w:t xml:space="preserve">Short run </w:t>
            </w:r>
          </w:p>
        </w:tc>
      </w:tr>
      <w:tr>
        <w:trPr/>
        <w:tc>
          <w:tcPr>
            <w:tcW w:w="1471" w:type="dxa"/>
            <w:tcBorders/>
            <w:vAlign w:val="center"/>
          </w:tcPr>
          <w:p>
            <w:pPr>
              <w:pStyle w:val="TableContents"/>
              <w:bidi w:val="0"/>
              <w:spacing w:before="0" w:after="283"/>
              <w:jc w:val="start"/>
              <w:rPr/>
            </w:pPr>
            <w:r>
              <w:rPr/>
              <w:t xml:space="preserve">Clothes Dryers5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-1. 32 </w:t>
            </w:r>
          </w:p>
        </w:tc>
        <w:tc>
          <w:tcPr>
            <w:tcW w:w="961" w:type="dxa"/>
            <w:tcBorders/>
            <w:vAlign w:val="center"/>
          </w:tcPr>
          <w:p>
            <w:pPr>
              <w:pStyle w:val="TableContents"/>
              <w:bidi w:val="0"/>
              <w:spacing w:before="0" w:after="283"/>
              <w:jc w:val="start"/>
              <w:rPr/>
            </w:pPr>
            <w:r>
              <w:rPr/>
              <w:t xml:space="preserve">– </w:t>
            </w:r>
          </w:p>
        </w:tc>
        <w:tc>
          <w:tcPr>
            <w:tcW w:w="1561" w:type="dxa"/>
            <w:tcBorders/>
            <w:vAlign w:val="center"/>
          </w:tcPr>
          <w:p>
            <w:pPr>
              <w:pStyle w:val="TableContents"/>
              <w:bidi w:val="0"/>
              <w:spacing w:before="0" w:after="283"/>
              <w:jc w:val="start"/>
              <w:rPr/>
            </w:pPr>
            <w:r>
              <w:rPr/>
              <w:t xml:space="preserve">Non-linear diffusion </w:t>
            </w:r>
          </w:p>
        </w:tc>
        <w:tc>
          <w:tcPr>
            <w:tcW w:w="661" w:type="dxa"/>
            <w:tcBorders/>
            <w:vAlign w:val="center"/>
          </w:tcPr>
          <w:p>
            <w:pPr>
              <w:pStyle w:val="TableContents"/>
              <w:bidi w:val="0"/>
              <w:spacing w:before="0" w:after="283"/>
              <w:jc w:val="start"/>
              <w:rPr/>
            </w:pPr>
            <w:r>
              <w:rPr/>
              <w:t xml:space="preserve">1963-1970 </w:t>
            </w:r>
          </w:p>
        </w:tc>
        <w:tc>
          <w:tcPr>
            <w:tcW w:w="766" w:type="dxa"/>
            <w:tcBorders/>
            <w:vAlign w:val="center"/>
          </w:tcPr>
          <w:p>
            <w:pPr>
              <w:pStyle w:val="TableContents"/>
              <w:bidi w:val="0"/>
              <w:spacing w:before="0" w:after="283"/>
              <w:jc w:val="start"/>
              <w:rPr/>
            </w:pPr>
            <w:r>
              <w:rPr/>
              <w:t xml:space="preserve">Short run </w:t>
            </w:r>
          </w:p>
        </w:tc>
      </w:tr>
      <w:tr>
        <w:trPr/>
        <w:tc>
          <w:tcPr>
            <w:tcW w:w="1471" w:type="dxa"/>
            <w:tcBorders/>
            <w:vAlign w:val="center"/>
          </w:tcPr>
          <w:p>
            <w:pPr>
              <w:pStyle w:val="TableContents"/>
              <w:bidi w:val="0"/>
              <w:spacing w:before="0" w:after="283"/>
              <w:jc w:val="start"/>
              <w:rPr/>
            </w:pPr>
            <w:r>
              <w:rPr/>
              <w:t xml:space="preserve">Room Air Conditioners6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20% </w:t>
            </w:r>
          </w:p>
        </w:tc>
        <w:tc>
          <w:tcPr>
            <w:tcW w:w="1561" w:type="dxa"/>
            <w:tcBorders/>
            <w:vAlign w:val="center"/>
          </w:tcPr>
          <w:p>
            <w:pPr>
              <w:pStyle w:val="TableContents"/>
              <w:bidi w:val="0"/>
              <w:spacing w:before="0" w:after="283"/>
              <w:jc w:val="start"/>
              <w:rPr/>
            </w:pPr>
            <w:r>
              <w:rPr/>
              <w:t xml:space="preserve">Qualitative choice, survey data </w:t>
            </w:r>
          </w:p>
        </w:tc>
        <w:tc>
          <w:tcPr>
            <w:tcW w:w="661" w:type="dxa"/>
            <w:tcBorders/>
            <w:vAlign w:val="center"/>
          </w:tcPr>
          <w:p>
            <w:pPr>
              <w:pStyle w:val="TableContents"/>
              <w:bidi w:val="0"/>
              <w:spacing w:before="0" w:after="283"/>
              <w:jc w:val="start"/>
              <w:rPr/>
            </w:pPr>
            <w:r>
              <w:rPr/>
              <w:t xml:space="preserve">– </w:t>
            </w:r>
          </w:p>
        </w:tc>
        <w:tc>
          <w:tcPr>
            <w:tcW w:w="766" w:type="dxa"/>
            <w:tcBorders/>
            <w:vAlign w:val="center"/>
          </w:tcPr>
          <w:p>
            <w:pPr>
              <w:pStyle w:val="TableContents"/>
              <w:bidi w:val="0"/>
              <w:spacing w:before="0" w:after="283"/>
              <w:jc w:val="start"/>
              <w:rPr/>
            </w:pPr>
            <w:r>
              <w:rPr/>
              <w:t xml:space="preserve">– </w:t>
            </w:r>
          </w:p>
        </w:tc>
      </w:tr>
      <w:tr>
        <w:trPr/>
        <w:tc>
          <w:tcPr>
            <w:tcW w:w="1471" w:type="dxa"/>
            <w:tcBorders/>
            <w:vAlign w:val="center"/>
          </w:tcPr>
          <w:p>
            <w:pPr>
              <w:pStyle w:val="TableContents"/>
              <w:bidi w:val="0"/>
              <w:spacing w:before="0" w:after="283"/>
              <w:jc w:val="start"/>
              <w:rPr/>
            </w:pPr>
            <w:r>
              <w:rPr/>
              <w:t xml:space="preserve">Household Appliances7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76" w:type="dxa"/>
            <w:tcBorders/>
            <w:vAlign w:val="center"/>
          </w:tcPr>
          <w:p>
            <w:pPr>
              <w:pStyle w:val="TableContents"/>
              <w:bidi w:val="0"/>
              <w:spacing w:before="0" w:after="283"/>
              <w:jc w:val="start"/>
              <w:rPr/>
            </w:pPr>
            <w:r>
              <w:rPr/>
              <w:t xml:space="preserve">– </w:t>
            </w:r>
          </w:p>
        </w:tc>
        <w:tc>
          <w:tcPr>
            <w:tcW w:w="961" w:type="dxa"/>
            <w:tcBorders/>
            <w:vAlign w:val="center"/>
          </w:tcPr>
          <w:p>
            <w:pPr>
              <w:pStyle w:val="TableContents"/>
              <w:bidi w:val="0"/>
              <w:spacing w:before="0" w:after="283"/>
              <w:jc w:val="start"/>
              <w:rPr/>
            </w:pPr>
            <w:r>
              <w:rPr/>
              <w:t xml:space="preserve">37%10 </w:t>
            </w:r>
          </w:p>
        </w:tc>
        <w:tc>
          <w:tcPr>
            <w:tcW w:w="1561" w:type="dxa"/>
            <w:tcBorders/>
            <w:vAlign w:val="center"/>
          </w:tcPr>
          <w:p>
            <w:pPr>
              <w:pStyle w:val="TableContents"/>
              <w:bidi w:val="0"/>
              <w:spacing w:before="0" w:after="283"/>
              <w:jc w:val="start"/>
              <w:rPr/>
            </w:pPr>
            <w:r>
              <w:rPr/>
              <w:t xml:space="preserve">Assorted </w:t>
            </w:r>
          </w:p>
        </w:tc>
        <w:tc>
          <w:tcPr>
            <w:tcW w:w="661" w:type="dxa"/>
            <w:tcBorders/>
            <w:vAlign w:val="center"/>
          </w:tcPr>
          <w:p>
            <w:pPr>
              <w:pStyle w:val="TableContents"/>
              <w:bidi w:val="0"/>
              <w:spacing w:before="0" w:after="283"/>
              <w:jc w:val="start"/>
              <w:rPr/>
            </w:pPr>
            <w:r>
              <w:rPr/>
              <w:t xml:space="preserve">– </w:t>
            </w:r>
          </w:p>
        </w:tc>
        <w:tc>
          <w:tcPr>
            <w:tcW w:w="766" w:type="dxa"/>
            <w:tcBorders/>
            <w:vAlign w:val="center"/>
          </w:tcPr>
          <w:p>
            <w:pPr>
              <w:pStyle w:val="TableContents"/>
              <w:bidi w:val="0"/>
              <w:spacing w:before="0" w:after="283"/>
              <w:jc w:val="start"/>
              <w:rPr/>
            </w:pPr>
            <w:r>
              <w:rPr/>
              <w:t xml:space="preserve">– </w:t>
            </w:r>
          </w:p>
        </w:tc>
      </w:tr>
    </w:tbl>
    <w:p>
      <w:pPr>
        <w:pStyle w:val="TextBody"/>
        <w:bidi w:val="0"/>
        <w:spacing w:before="0" w:after="283"/>
        <w:jc w:val="start"/>
        <w:rPr/>
      </w:pPr>
      <w:r>
        <w:rPr/>
        <w:t xml:space="preserve">Sources: S. Hymens. 1971; P. Golder and G. Tellis, 1998; D. Revelt and K. Train, 1997; </w:t>
      </w:r>
    </w:p>
    <w:p>
      <w:pPr>
        <w:pStyle w:val="Heading3"/>
        <w:bidi w:val="0"/>
        <w:jc w:val="start"/>
        <w:rPr/>
      </w:pPr>
      <w:r>
        <w:rPr/>
        <w:t xml:space="preserve">Variables describing the market for refrigerators, clothes washers, and dishwashers </w:t>
      </w:r>
    </w:p>
    <w:p>
      <w:pPr>
        <w:pStyle w:val="TextBody"/>
        <w:bidi w:val="0"/>
        <w:spacing w:before="0" w:after="283"/>
        <w:jc w:val="start"/>
        <w:rPr/>
      </w:pPr>
      <w:r>
        <w:rPr/>
        <w:t xml:space="preserve">In this section variables that appear to account for refrigerator, clothes washer and dishwasher shipments, including physical household/appliance variables, and economic variables. </w:t>
      </w:r>
    </w:p>
    <w:p>
      <w:pPr>
        <w:pStyle w:val="Heading3"/>
        <w:bidi w:val="0"/>
        <w:jc w:val="start"/>
        <w:rPr/>
      </w:pPr>
      <w:r>
        <w:rPr/>
        <w:t xml:space="preserve">Physical Household/Appliance Variables </w:t>
      </w:r>
    </w:p>
    <w:p>
      <w:pPr>
        <w:pStyle w:val="TextBody"/>
        <w:bidi w:val="0"/>
        <w:spacing w:before="0" w:after="283"/>
        <w:jc w:val="start"/>
        <w:rPr/>
      </w:pPr>
      <w:r>
        <w:rPr/>
        <w:t xml:space="preserve">Several variables influence the sale of refrigerators, clothes washers and dishwashers. The most important for explaining appliance sales trends are the annual number of new households formed (housing starts) and the number of appliances reaching the end of their operating life (replacements). Housing starts influence sales because new homes are often provided with, or soon receive, new appliances, including dishwashers and refrigerators. Replacements are correlated with sales because new appliances are typically purchased when old ones wear out. In principle, if households maintain a fixed number of appliances, shipments should equal housing starts plus appliance replacements. </w:t>
      </w:r>
    </w:p>
    <w:p>
      <w:pPr>
        <w:pStyle w:val="Heading3"/>
        <w:bidi w:val="0"/>
        <w:jc w:val="start"/>
        <w:rPr/>
      </w:pPr>
      <w:r>
        <w:rPr/>
        <w:t xml:space="preserve">Economic variables </w:t>
      </w:r>
    </w:p>
    <w:p>
      <w:pPr>
        <w:pStyle w:val="TextBody"/>
        <w:bidi w:val="0"/>
        <w:spacing w:before="0" w:after="283"/>
        <w:jc w:val="start"/>
        <w:rPr/>
      </w:pPr>
      <w:r>
        <w:rPr/>
        <w:t xml:space="preserve">Appliance price, appliance operating cost and household income are important economic variables affecting shipments. Low prices and costs encourage household appliance purchases and a rise in income increases householder ability to purchase appliances. In principle, changes in economic variables should explain changes in the number of appliances per household. </w:t>
      </w:r>
    </w:p>
    <w:p>
      <w:pPr>
        <w:pStyle w:val="TextBody"/>
        <w:bidi w:val="0"/>
        <w:spacing w:before="0" w:after="283"/>
        <w:jc w:val="start"/>
        <w:rPr/>
      </w:pPr>
      <w:r>
        <w:rPr/>
        <w:t xml:space="preserve">During the 1980–2002 study period, annual shipments grew 69 percent for clothes washers, 81 percent for refrigerators and 105 percent for dishwashers. This rising shipments trend is explained in part by housing starts, which increased 6 percent and by appliance replacements, which rose between 49 percent and 90 percent, depending on the appliance, over the period </w:t>
      </w:r>
    </w:p>
    <w:p>
      <w:pPr>
        <w:pStyle w:val="Heading3"/>
        <w:bidi w:val="0"/>
        <w:jc w:val="start"/>
        <w:rPr/>
      </w:pPr>
      <w:r>
        <w:rPr/>
        <w:t xml:space="preserve">Physical Household/Appliance Variables </w:t>
      </w:r>
    </w:p>
    <w:tbl>
      <w:tblPr>
        <w:tblW w:w="7503" w:type="dxa"/>
        <w:jc w:val="start"/>
        <w:tblInd w:w="0" w:type="dxa"/>
        <w:tblLayout w:type="fixed"/>
        <w:tblCellMar>
          <w:top w:w="28" w:type="dxa"/>
          <w:start w:w="28" w:type="dxa"/>
          <w:bottom w:w="28" w:type="dxa"/>
          <w:end w:w="28" w:type="dxa"/>
        </w:tblCellMar>
      </w:tblPr>
      <w:tblGrid>
        <w:gridCol w:w="2251"/>
        <w:gridCol w:w="2641"/>
        <w:gridCol w:w="2611"/>
      </w:tblGrid>
      <w:tr>
        <w:trPr/>
        <w:tc>
          <w:tcPr>
            <w:tcW w:w="2251" w:type="dxa"/>
            <w:tcBorders/>
            <w:vAlign w:val="center"/>
          </w:tcPr>
          <w:p>
            <w:pPr>
              <w:pStyle w:val="TableContents"/>
              <w:bidi w:val="0"/>
              <w:spacing w:before="0" w:after="283"/>
              <w:jc w:val="start"/>
              <w:rPr/>
            </w:pPr>
            <w:r>
              <w:rPr/>
              <w:t xml:space="preserve">Shipments1 (millions) </w:t>
            </w:r>
          </w:p>
        </w:tc>
        <w:tc>
          <w:tcPr>
            <w:tcW w:w="2641" w:type="dxa"/>
            <w:tcBorders/>
            <w:vAlign w:val="center"/>
          </w:tcPr>
          <w:p>
            <w:pPr>
              <w:pStyle w:val="TableContents"/>
              <w:bidi w:val="0"/>
              <w:spacing w:before="0" w:after="283"/>
              <w:jc w:val="start"/>
              <w:rPr/>
            </w:pPr>
            <w:r>
              <w:rPr/>
              <w:t xml:space="preserve">Housing Starts2 (millions) </w:t>
            </w:r>
          </w:p>
        </w:tc>
        <w:tc>
          <w:tcPr>
            <w:tcW w:w="2611" w:type="dxa"/>
            <w:tcBorders/>
            <w:vAlign w:val="center"/>
          </w:tcPr>
          <w:p>
            <w:pPr>
              <w:pStyle w:val="TableContents"/>
              <w:bidi w:val="0"/>
              <w:spacing w:before="0" w:after="283"/>
              <w:jc w:val="start"/>
              <w:rPr/>
            </w:pPr>
            <w:r>
              <w:rPr/>
              <w:t xml:space="preserve">Replacements3 (millions) </w:t>
            </w:r>
          </w:p>
        </w:tc>
      </w:tr>
    </w:tbl>
    <w:tbl>
      <w:tblPr>
        <w:tblW w:w="8348" w:type="dxa"/>
        <w:jc w:val="start"/>
        <w:tblInd w:w="0" w:type="dxa"/>
        <w:tblLayout w:type="fixed"/>
        <w:tblCellMar>
          <w:top w:w="28" w:type="dxa"/>
          <w:start w:w="28" w:type="dxa"/>
          <w:bottom w:w="28" w:type="dxa"/>
          <w:end w:w="28" w:type="dxa"/>
        </w:tblCellMar>
      </w:tblPr>
      <w:tblGrid>
        <w:gridCol w:w="1617"/>
        <w:gridCol w:w="700"/>
        <w:gridCol w:w="700"/>
        <w:gridCol w:w="879"/>
        <w:gridCol w:w="700"/>
        <w:gridCol w:w="700"/>
        <w:gridCol w:w="879"/>
        <w:gridCol w:w="624"/>
        <w:gridCol w:w="624"/>
        <w:gridCol w:w="925"/>
      </w:tblGrid>
      <w:tr>
        <w:trPr/>
        <w:tc>
          <w:tcPr>
            <w:tcW w:w="1617" w:type="dxa"/>
            <w:tcBorders/>
            <w:vAlign w:val="center"/>
          </w:tcPr>
          <w:p>
            <w:pPr>
              <w:pStyle w:val="TableContents"/>
              <w:bidi w:val="0"/>
              <w:spacing w:before="0" w:after="283"/>
              <w:jc w:val="start"/>
              <w:rPr/>
            </w:pPr>
            <w:r>
              <w:rPr/>
              <w:t xml:space="preserve">Appliance </w:t>
            </w:r>
          </w:p>
        </w:tc>
        <w:tc>
          <w:tcPr>
            <w:tcW w:w="700" w:type="dxa"/>
            <w:tcBorders/>
            <w:vAlign w:val="center"/>
          </w:tcPr>
          <w:p>
            <w:pPr>
              <w:pStyle w:val="TableContents"/>
              <w:bidi w:val="0"/>
              <w:spacing w:before="0" w:after="283"/>
              <w:jc w:val="start"/>
              <w:rPr/>
            </w:pPr>
            <w:r>
              <w:rPr/>
              <w:t xml:space="preserve">1980 </w:t>
            </w:r>
          </w:p>
        </w:tc>
        <w:tc>
          <w:tcPr>
            <w:tcW w:w="700" w:type="dxa"/>
            <w:tcBorders/>
            <w:vAlign w:val="center"/>
          </w:tcPr>
          <w:p>
            <w:pPr>
              <w:pStyle w:val="TableContents"/>
              <w:bidi w:val="0"/>
              <w:spacing w:before="0" w:after="283"/>
              <w:jc w:val="start"/>
              <w:rPr/>
            </w:pPr>
            <w:r>
              <w:rPr/>
              <w:t xml:space="preserve">2002 </w:t>
            </w:r>
          </w:p>
        </w:tc>
        <w:tc>
          <w:tcPr>
            <w:tcW w:w="879" w:type="dxa"/>
            <w:tcBorders/>
            <w:vAlign w:val="center"/>
          </w:tcPr>
          <w:p>
            <w:pPr>
              <w:pStyle w:val="TableContents"/>
              <w:bidi w:val="0"/>
              <w:spacing w:before="0" w:after="283"/>
              <w:jc w:val="start"/>
              <w:rPr/>
            </w:pPr>
            <w:r>
              <w:rPr/>
              <w:t xml:space="preserve">Change </w:t>
            </w:r>
          </w:p>
        </w:tc>
        <w:tc>
          <w:tcPr>
            <w:tcW w:w="700" w:type="dxa"/>
            <w:tcBorders/>
            <w:vAlign w:val="center"/>
          </w:tcPr>
          <w:p>
            <w:pPr>
              <w:pStyle w:val="TableContents"/>
              <w:bidi w:val="0"/>
              <w:spacing w:before="0" w:after="283"/>
              <w:jc w:val="start"/>
              <w:rPr/>
            </w:pPr>
            <w:r>
              <w:rPr/>
              <w:t xml:space="preserve">1980 </w:t>
            </w:r>
          </w:p>
        </w:tc>
        <w:tc>
          <w:tcPr>
            <w:tcW w:w="700" w:type="dxa"/>
            <w:tcBorders/>
            <w:vAlign w:val="center"/>
          </w:tcPr>
          <w:p>
            <w:pPr>
              <w:pStyle w:val="TableContents"/>
              <w:bidi w:val="0"/>
              <w:spacing w:before="0" w:after="283"/>
              <w:jc w:val="start"/>
              <w:rPr/>
            </w:pPr>
            <w:r>
              <w:rPr/>
              <w:t xml:space="preserve">2002 </w:t>
            </w:r>
          </w:p>
        </w:tc>
        <w:tc>
          <w:tcPr>
            <w:tcW w:w="879" w:type="dxa"/>
            <w:tcBorders/>
            <w:vAlign w:val="center"/>
          </w:tcPr>
          <w:p>
            <w:pPr>
              <w:pStyle w:val="TableContents"/>
              <w:bidi w:val="0"/>
              <w:spacing w:before="0" w:after="283"/>
              <w:jc w:val="start"/>
              <w:rPr/>
            </w:pPr>
            <w:r>
              <w:rPr/>
              <w:t xml:space="preserve">Change </w:t>
            </w:r>
          </w:p>
        </w:tc>
        <w:tc>
          <w:tcPr>
            <w:tcW w:w="624" w:type="dxa"/>
            <w:tcBorders/>
            <w:vAlign w:val="center"/>
          </w:tcPr>
          <w:p>
            <w:pPr>
              <w:pStyle w:val="TableContents"/>
              <w:bidi w:val="0"/>
              <w:spacing w:before="0" w:after="283"/>
              <w:jc w:val="start"/>
              <w:rPr/>
            </w:pPr>
            <w:r>
              <w:rPr/>
              <w:t xml:space="preserve">1980 </w:t>
            </w:r>
          </w:p>
        </w:tc>
        <w:tc>
          <w:tcPr>
            <w:tcW w:w="624" w:type="dxa"/>
            <w:tcBorders/>
            <w:vAlign w:val="center"/>
          </w:tcPr>
          <w:p>
            <w:pPr>
              <w:pStyle w:val="TableContents"/>
              <w:bidi w:val="0"/>
              <w:spacing w:before="0" w:after="283"/>
              <w:jc w:val="start"/>
              <w:rPr/>
            </w:pPr>
            <w:r>
              <w:rPr/>
              <w:t xml:space="preserve">2002 </w:t>
            </w:r>
          </w:p>
        </w:tc>
        <w:tc>
          <w:tcPr>
            <w:tcW w:w="925" w:type="dxa"/>
            <w:tcBorders/>
            <w:vAlign w:val="center"/>
          </w:tcPr>
          <w:p>
            <w:pPr>
              <w:pStyle w:val="TableContents"/>
              <w:bidi w:val="0"/>
              <w:spacing w:before="0" w:after="283"/>
              <w:jc w:val="start"/>
              <w:rPr/>
            </w:pPr>
            <w:r>
              <w:rPr/>
              <w:t xml:space="preserve">Change </w:t>
            </w:r>
          </w:p>
        </w:tc>
      </w:tr>
      <w:tr>
        <w:trPr/>
        <w:tc>
          <w:tcPr>
            <w:tcW w:w="1617" w:type="dxa"/>
            <w:tcBorders/>
            <w:vAlign w:val="center"/>
          </w:tcPr>
          <w:p>
            <w:pPr>
              <w:pStyle w:val="TableContents"/>
              <w:bidi w:val="0"/>
              <w:spacing w:before="0" w:after="283"/>
              <w:jc w:val="start"/>
              <w:rPr/>
            </w:pPr>
            <w:r>
              <w:rPr/>
              <w:t xml:space="preserve">Refrigerators </w:t>
            </w:r>
          </w:p>
        </w:tc>
        <w:tc>
          <w:tcPr>
            <w:tcW w:w="700" w:type="dxa"/>
            <w:tcBorders/>
            <w:vAlign w:val="center"/>
          </w:tcPr>
          <w:p>
            <w:pPr>
              <w:pStyle w:val="TableContents"/>
              <w:bidi w:val="0"/>
              <w:spacing w:before="0" w:after="283"/>
              <w:jc w:val="start"/>
              <w:rPr/>
            </w:pPr>
            <w:r>
              <w:rPr/>
              <w:t xml:space="preserve">5. 124 </w:t>
            </w:r>
          </w:p>
        </w:tc>
        <w:tc>
          <w:tcPr>
            <w:tcW w:w="700" w:type="dxa"/>
            <w:tcBorders/>
            <w:vAlign w:val="center"/>
          </w:tcPr>
          <w:p>
            <w:pPr>
              <w:pStyle w:val="TableContents"/>
              <w:bidi w:val="0"/>
              <w:spacing w:before="0" w:after="283"/>
              <w:jc w:val="start"/>
              <w:rPr/>
            </w:pPr>
            <w:r>
              <w:rPr/>
              <w:t xml:space="preserve">9. 264 </w:t>
            </w:r>
          </w:p>
        </w:tc>
        <w:tc>
          <w:tcPr>
            <w:tcW w:w="879" w:type="dxa"/>
            <w:tcBorders/>
            <w:vAlign w:val="center"/>
          </w:tcPr>
          <w:p>
            <w:pPr>
              <w:pStyle w:val="TableContents"/>
              <w:bidi w:val="0"/>
              <w:spacing w:before="0" w:after="283"/>
              <w:jc w:val="start"/>
              <w:rPr/>
            </w:pPr>
            <w:r>
              <w:rPr/>
              <w:t xml:space="preserve">81% </w:t>
            </w:r>
          </w:p>
        </w:tc>
        <w:tc>
          <w:tcPr>
            <w:tcW w:w="700" w:type="dxa"/>
            <w:tcBorders/>
            <w:vAlign w:val="center"/>
          </w:tcPr>
          <w:p>
            <w:pPr>
              <w:pStyle w:val="TableContents"/>
              <w:bidi w:val="0"/>
              <w:spacing w:before="0" w:after="283"/>
              <w:jc w:val="start"/>
              <w:rPr/>
            </w:pPr>
            <w:r>
              <w:rPr/>
              <w:t xml:space="preserve">1. 723 </w:t>
            </w:r>
          </w:p>
        </w:tc>
        <w:tc>
          <w:tcPr>
            <w:tcW w:w="700" w:type="dxa"/>
            <w:tcBorders/>
            <w:vAlign w:val="center"/>
          </w:tcPr>
          <w:p>
            <w:pPr>
              <w:pStyle w:val="TableContents"/>
              <w:bidi w:val="0"/>
              <w:spacing w:before="0" w:after="283"/>
              <w:jc w:val="start"/>
              <w:rPr/>
            </w:pPr>
            <w:r>
              <w:rPr/>
              <w:t xml:space="preserve">1. 822 </w:t>
            </w:r>
          </w:p>
        </w:tc>
        <w:tc>
          <w:tcPr>
            <w:tcW w:w="879" w:type="dxa"/>
            <w:tcBorders/>
            <w:vAlign w:val="center"/>
          </w:tcPr>
          <w:p>
            <w:pPr>
              <w:pStyle w:val="TableContents"/>
              <w:bidi w:val="0"/>
              <w:spacing w:before="0" w:after="283"/>
              <w:jc w:val="start"/>
              <w:rPr/>
            </w:pPr>
            <w:r>
              <w:rPr/>
              <w:t xml:space="preserve">6% </w:t>
            </w:r>
          </w:p>
        </w:tc>
        <w:tc>
          <w:tcPr>
            <w:tcW w:w="624" w:type="dxa"/>
            <w:tcBorders/>
            <w:vAlign w:val="center"/>
          </w:tcPr>
          <w:p>
            <w:pPr>
              <w:pStyle w:val="TableContents"/>
              <w:bidi w:val="0"/>
              <w:spacing w:before="0" w:after="283"/>
              <w:jc w:val="start"/>
              <w:rPr/>
            </w:pPr>
            <w:r>
              <w:rPr/>
              <w:t xml:space="preserve">3. 93 </w:t>
            </w:r>
          </w:p>
        </w:tc>
        <w:tc>
          <w:tcPr>
            <w:tcW w:w="624" w:type="dxa"/>
            <w:tcBorders/>
            <w:vAlign w:val="center"/>
          </w:tcPr>
          <w:p>
            <w:pPr>
              <w:pStyle w:val="TableContents"/>
              <w:bidi w:val="0"/>
              <w:spacing w:before="0" w:after="283"/>
              <w:jc w:val="start"/>
              <w:rPr/>
            </w:pPr>
            <w:r>
              <w:rPr/>
              <w:t xml:space="preserve">5. 84 </w:t>
            </w:r>
          </w:p>
        </w:tc>
        <w:tc>
          <w:tcPr>
            <w:tcW w:w="925" w:type="dxa"/>
            <w:tcBorders/>
            <w:vAlign w:val="center"/>
          </w:tcPr>
          <w:p>
            <w:pPr>
              <w:pStyle w:val="TableContents"/>
              <w:bidi w:val="0"/>
              <w:spacing w:before="0" w:after="283"/>
              <w:jc w:val="start"/>
              <w:rPr/>
            </w:pPr>
            <w:r>
              <w:rPr/>
              <w:t xml:space="preserve">49% </w:t>
            </w:r>
          </w:p>
        </w:tc>
      </w:tr>
      <w:tr>
        <w:trPr/>
        <w:tc>
          <w:tcPr>
            <w:tcW w:w="1617" w:type="dxa"/>
            <w:tcBorders/>
            <w:vAlign w:val="center"/>
          </w:tcPr>
          <w:p>
            <w:pPr>
              <w:pStyle w:val="TableContents"/>
              <w:bidi w:val="0"/>
              <w:spacing w:before="0" w:after="283"/>
              <w:jc w:val="start"/>
              <w:rPr/>
            </w:pPr>
            <w:r>
              <w:rPr/>
              <w:t xml:space="preserve">Clothes Washers </w:t>
            </w:r>
          </w:p>
        </w:tc>
        <w:tc>
          <w:tcPr>
            <w:tcW w:w="700" w:type="dxa"/>
            <w:tcBorders/>
            <w:vAlign w:val="center"/>
          </w:tcPr>
          <w:p>
            <w:pPr>
              <w:pStyle w:val="TableContents"/>
              <w:bidi w:val="0"/>
              <w:spacing w:before="0" w:after="283"/>
              <w:jc w:val="start"/>
              <w:rPr/>
            </w:pPr>
            <w:r>
              <w:rPr/>
              <w:t xml:space="preserve">4. 426 </w:t>
            </w:r>
          </w:p>
        </w:tc>
        <w:tc>
          <w:tcPr>
            <w:tcW w:w="700" w:type="dxa"/>
            <w:tcBorders/>
            <w:vAlign w:val="center"/>
          </w:tcPr>
          <w:p>
            <w:pPr>
              <w:pStyle w:val="TableContents"/>
              <w:bidi w:val="0"/>
              <w:spacing w:before="0" w:after="283"/>
              <w:jc w:val="start"/>
              <w:rPr/>
            </w:pPr>
            <w:r>
              <w:rPr/>
              <w:t xml:space="preserve">7. 492 </w:t>
            </w:r>
          </w:p>
        </w:tc>
        <w:tc>
          <w:tcPr>
            <w:tcW w:w="879" w:type="dxa"/>
            <w:tcBorders/>
            <w:vAlign w:val="center"/>
          </w:tcPr>
          <w:p>
            <w:pPr>
              <w:pStyle w:val="TableContents"/>
              <w:bidi w:val="0"/>
              <w:spacing w:before="0" w:after="283"/>
              <w:jc w:val="start"/>
              <w:rPr/>
            </w:pPr>
            <w:r>
              <w:rPr/>
              <w:t xml:space="preserve">69% </w:t>
            </w:r>
          </w:p>
        </w:tc>
        <w:tc>
          <w:tcPr>
            <w:tcW w:w="700" w:type="dxa"/>
            <w:tcBorders/>
            <w:vAlign w:val="center"/>
          </w:tcPr>
          <w:p>
            <w:pPr>
              <w:pStyle w:val="TableContents"/>
              <w:bidi w:val="0"/>
              <w:spacing w:before="0" w:after="283"/>
              <w:jc w:val="start"/>
              <w:rPr/>
            </w:pPr>
            <w:r>
              <w:rPr/>
              <w:t xml:space="preserve">1. 723 </w:t>
            </w:r>
          </w:p>
        </w:tc>
        <w:tc>
          <w:tcPr>
            <w:tcW w:w="700" w:type="dxa"/>
            <w:tcBorders/>
            <w:vAlign w:val="center"/>
          </w:tcPr>
          <w:p>
            <w:pPr>
              <w:pStyle w:val="TableContents"/>
              <w:bidi w:val="0"/>
              <w:spacing w:before="0" w:after="283"/>
              <w:jc w:val="start"/>
              <w:rPr/>
            </w:pPr>
            <w:r>
              <w:rPr/>
              <w:t xml:space="preserve">1. 822 </w:t>
            </w:r>
          </w:p>
        </w:tc>
        <w:tc>
          <w:tcPr>
            <w:tcW w:w="879" w:type="dxa"/>
            <w:tcBorders/>
            <w:vAlign w:val="center"/>
          </w:tcPr>
          <w:p>
            <w:pPr>
              <w:pStyle w:val="TableContents"/>
              <w:bidi w:val="0"/>
              <w:spacing w:before="0" w:after="283"/>
              <w:jc w:val="start"/>
              <w:rPr/>
            </w:pPr>
            <w:r>
              <w:rPr/>
              <w:t xml:space="preserve">6% </w:t>
            </w:r>
          </w:p>
        </w:tc>
        <w:tc>
          <w:tcPr>
            <w:tcW w:w="624" w:type="dxa"/>
            <w:tcBorders/>
            <w:vAlign w:val="center"/>
          </w:tcPr>
          <w:p>
            <w:pPr>
              <w:pStyle w:val="TableContents"/>
              <w:bidi w:val="0"/>
              <w:spacing w:before="0" w:after="283"/>
              <w:jc w:val="start"/>
              <w:rPr/>
            </w:pPr>
            <w:r>
              <w:rPr/>
              <w:t xml:space="preserve">3. 66 </w:t>
            </w:r>
          </w:p>
        </w:tc>
        <w:tc>
          <w:tcPr>
            <w:tcW w:w="624" w:type="dxa"/>
            <w:tcBorders/>
            <w:vAlign w:val="center"/>
          </w:tcPr>
          <w:p>
            <w:pPr>
              <w:pStyle w:val="TableContents"/>
              <w:bidi w:val="0"/>
              <w:spacing w:before="0" w:after="283"/>
              <w:jc w:val="start"/>
              <w:rPr/>
            </w:pPr>
            <w:r>
              <w:rPr/>
              <w:t xml:space="preserve">5. 50 </w:t>
            </w:r>
          </w:p>
        </w:tc>
        <w:tc>
          <w:tcPr>
            <w:tcW w:w="925" w:type="dxa"/>
            <w:tcBorders/>
            <w:vAlign w:val="center"/>
          </w:tcPr>
          <w:p>
            <w:pPr>
              <w:pStyle w:val="TableContents"/>
              <w:bidi w:val="0"/>
              <w:spacing w:before="0" w:after="283"/>
              <w:jc w:val="start"/>
              <w:rPr/>
            </w:pPr>
            <w:r>
              <w:rPr/>
              <w:t xml:space="preserve">50% </w:t>
            </w:r>
          </w:p>
        </w:tc>
      </w:tr>
      <w:tr>
        <w:trPr/>
        <w:tc>
          <w:tcPr>
            <w:tcW w:w="1617" w:type="dxa"/>
            <w:tcBorders/>
            <w:vAlign w:val="center"/>
          </w:tcPr>
          <w:p>
            <w:pPr>
              <w:pStyle w:val="TableContents"/>
              <w:bidi w:val="0"/>
              <w:spacing w:before="0" w:after="283"/>
              <w:jc w:val="start"/>
              <w:rPr/>
            </w:pPr>
            <w:r>
              <w:rPr/>
              <w:t xml:space="preserve">Dishwashers </w:t>
            </w:r>
          </w:p>
        </w:tc>
        <w:tc>
          <w:tcPr>
            <w:tcW w:w="700" w:type="dxa"/>
            <w:tcBorders/>
            <w:vAlign w:val="center"/>
          </w:tcPr>
          <w:p>
            <w:pPr>
              <w:pStyle w:val="TableContents"/>
              <w:bidi w:val="0"/>
              <w:spacing w:before="0" w:after="283"/>
              <w:jc w:val="start"/>
              <w:rPr/>
            </w:pPr>
            <w:r>
              <w:rPr/>
              <w:t xml:space="preserve">2. 738 </w:t>
            </w:r>
          </w:p>
        </w:tc>
        <w:tc>
          <w:tcPr>
            <w:tcW w:w="700" w:type="dxa"/>
            <w:tcBorders/>
            <w:vAlign w:val="center"/>
          </w:tcPr>
          <w:p>
            <w:pPr>
              <w:pStyle w:val="TableContents"/>
              <w:bidi w:val="0"/>
              <w:spacing w:before="0" w:after="283"/>
              <w:jc w:val="start"/>
              <w:rPr/>
            </w:pPr>
            <w:r>
              <w:rPr/>
              <w:t xml:space="preserve">5. 605 </w:t>
            </w:r>
          </w:p>
        </w:tc>
        <w:tc>
          <w:tcPr>
            <w:tcW w:w="879" w:type="dxa"/>
            <w:tcBorders/>
            <w:vAlign w:val="center"/>
          </w:tcPr>
          <w:p>
            <w:pPr>
              <w:pStyle w:val="TableContents"/>
              <w:bidi w:val="0"/>
              <w:spacing w:before="0" w:after="283"/>
              <w:jc w:val="start"/>
              <w:rPr/>
            </w:pPr>
            <w:r>
              <w:rPr/>
              <w:t xml:space="preserve">105% </w:t>
            </w:r>
          </w:p>
        </w:tc>
        <w:tc>
          <w:tcPr>
            <w:tcW w:w="700" w:type="dxa"/>
            <w:tcBorders/>
            <w:vAlign w:val="center"/>
          </w:tcPr>
          <w:p>
            <w:pPr>
              <w:pStyle w:val="TableContents"/>
              <w:bidi w:val="0"/>
              <w:spacing w:before="0" w:after="283"/>
              <w:jc w:val="start"/>
              <w:rPr/>
            </w:pPr>
            <w:r>
              <w:rPr/>
              <w:t xml:space="preserve">1. 723 </w:t>
            </w:r>
          </w:p>
        </w:tc>
        <w:tc>
          <w:tcPr>
            <w:tcW w:w="700" w:type="dxa"/>
            <w:tcBorders/>
            <w:vAlign w:val="center"/>
          </w:tcPr>
          <w:p>
            <w:pPr>
              <w:pStyle w:val="TableContents"/>
              <w:bidi w:val="0"/>
              <w:spacing w:before="0" w:after="283"/>
              <w:jc w:val="start"/>
              <w:rPr/>
            </w:pPr>
            <w:r>
              <w:rPr/>
              <w:t xml:space="preserve">1. 822 </w:t>
            </w:r>
          </w:p>
        </w:tc>
        <w:tc>
          <w:tcPr>
            <w:tcW w:w="879" w:type="dxa"/>
            <w:tcBorders/>
            <w:vAlign w:val="center"/>
          </w:tcPr>
          <w:p>
            <w:pPr>
              <w:pStyle w:val="TableContents"/>
              <w:bidi w:val="0"/>
              <w:spacing w:before="0" w:after="283"/>
              <w:jc w:val="start"/>
              <w:rPr/>
            </w:pPr>
            <w:r>
              <w:rPr/>
              <w:t xml:space="preserve">6% </w:t>
            </w:r>
          </w:p>
        </w:tc>
        <w:tc>
          <w:tcPr>
            <w:tcW w:w="624" w:type="dxa"/>
            <w:tcBorders/>
            <w:vAlign w:val="center"/>
          </w:tcPr>
          <w:p>
            <w:pPr>
              <w:pStyle w:val="TableContents"/>
              <w:bidi w:val="0"/>
              <w:spacing w:before="0" w:after="283"/>
              <w:jc w:val="start"/>
              <w:rPr/>
            </w:pPr>
            <w:r>
              <w:rPr/>
              <w:t xml:space="preserve">1. 99 </w:t>
            </w:r>
          </w:p>
        </w:tc>
        <w:tc>
          <w:tcPr>
            <w:tcW w:w="624" w:type="dxa"/>
            <w:tcBorders/>
            <w:vAlign w:val="center"/>
          </w:tcPr>
          <w:p>
            <w:pPr>
              <w:pStyle w:val="TableContents"/>
              <w:bidi w:val="0"/>
              <w:spacing w:before="0" w:after="283"/>
              <w:jc w:val="start"/>
              <w:rPr/>
            </w:pPr>
            <w:r>
              <w:rPr/>
              <w:t xml:space="preserve">3. 79 </w:t>
            </w:r>
          </w:p>
        </w:tc>
        <w:tc>
          <w:tcPr>
            <w:tcW w:w="925" w:type="dxa"/>
            <w:tcBorders/>
            <w:vAlign w:val="center"/>
          </w:tcPr>
          <w:p>
            <w:pPr>
              <w:pStyle w:val="TableContents"/>
              <w:bidi w:val="0"/>
              <w:spacing w:before="0" w:after="283"/>
              <w:jc w:val="start"/>
              <w:rPr/>
            </w:pPr>
            <w:r>
              <w:rPr/>
              <w:t xml:space="preserve">90% </w:t>
            </w:r>
          </w:p>
        </w:tc>
      </w:tr>
    </w:tbl>
    <w:p>
      <w:pPr>
        <w:pStyle w:val="Heading3"/>
        <w:bidi w:val="0"/>
        <w:jc w:val="start"/>
        <w:rPr/>
      </w:pPr>
      <w:r>
        <w:rPr/>
        <w:t xml:space="preserve">LONG RUN IMPACTS </w:t>
      </w:r>
    </w:p>
    <w:p>
      <w:pPr>
        <w:pStyle w:val="TextBody"/>
        <w:bidi w:val="0"/>
        <w:spacing w:before="0" w:after="283"/>
        <w:jc w:val="start"/>
        <w:rPr/>
      </w:pPr>
      <w:r>
        <w:rPr/>
        <w:t xml:space="preserve">Price elasticities over short and long time periods, also referred to as short run and long run price elasticities. The price elasticity of demand is significantly different over the short run and long run for automobiles. Because forecasts of shipments and national impacts due to standards is over a 30-year time period, consideration must be given as to how the </w:t>
      </w:r>
      <w:r>
        <w:rPr>
          <w:rStyle w:val="Emphasis"/>
        </w:rPr>
        <w:t xml:space="preserve">relative </w:t>
      </w:r>
      <w:r>
        <w:rPr/>
        <w:t xml:space="preserve">price elasticity is affected once a new standard takes effect. Elasticity of demand changes in the years following a purchase price change. With increasing years after the price change, the price elasticity becomes more inelastic until it reaches a terminal value around the tenth year after the price change. </w:t>
      </w:r>
    </w:p>
    <w:p>
      <w:pPr>
        <w:pStyle w:val="Heading3"/>
        <w:bidi w:val="0"/>
        <w:jc w:val="start"/>
        <w:rPr/>
      </w:pPr>
      <w:r>
        <w:rPr/>
        <w:t xml:space="preserve">Change in Price Elasticity of Demand for Automobiles following a Purchase Price Change </w:t>
      </w:r>
    </w:p>
    <w:tbl>
      <w:tblPr>
        <w:tblW w:w="3151" w:type="dxa"/>
        <w:jc w:val="start"/>
        <w:tblInd w:w="0" w:type="dxa"/>
        <w:tblLayout w:type="fixed"/>
        <w:tblCellMar>
          <w:top w:w="28" w:type="dxa"/>
          <w:start w:w="28" w:type="dxa"/>
          <w:bottom w:w="28" w:type="dxa"/>
          <w:end w:w="28" w:type="dxa"/>
        </w:tblCellMar>
      </w:tblPr>
      <w:tblGrid>
        <w:gridCol w:w="3151"/>
      </w:tblGrid>
      <w:tr>
        <w:trPr/>
        <w:tc>
          <w:tcPr>
            <w:tcW w:w="3151" w:type="dxa"/>
            <w:tcBorders/>
            <w:vAlign w:val="center"/>
          </w:tcPr>
          <w:p>
            <w:pPr>
              <w:pStyle w:val="TableContents"/>
              <w:bidi w:val="0"/>
              <w:spacing w:before="0" w:after="283"/>
              <w:jc w:val="start"/>
              <w:rPr/>
            </w:pPr>
            <w:r>
              <w:rPr/>
              <w:t xml:space="preserve">Years Following Price Change </w:t>
            </w:r>
          </w:p>
        </w:tc>
      </w:tr>
    </w:tbl>
    <w:tbl>
      <w:tblPr>
        <w:tblW w:w="2016" w:type="dxa"/>
        <w:jc w:val="start"/>
        <w:tblInd w:w="0" w:type="dxa"/>
        <w:tblLayout w:type="fixed"/>
        <w:tblCellMar>
          <w:top w:w="28" w:type="dxa"/>
          <w:start w:w="28" w:type="dxa"/>
          <w:bottom w:w="28" w:type="dxa"/>
          <w:end w:w="28" w:type="dxa"/>
        </w:tblCellMar>
      </w:tblPr>
      <w:tblGrid>
        <w:gridCol w:w="301"/>
        <w:gridCol w:w="286"/>
        <w:gridCol w:w="286"/>
        <w:gridCol w:w="286"/>
        <w:gridCol w:w="406"/>
        <w:gridCol w:w="451"/>
      </w:tblGrid>
      <w:tr>
        <w:trPr/>
        <w:tc>
          <w:tcPr>
            <w:tcW w:w="301" w:type="dxa"/>
            <w:tcBorders/>
            <w:vAlign w:val="center"/>
          </w:tcPr>
          <w:p>
            <w:pPr>
              <w:pStyle w:val="TableContents"/>
              <w:bidi w:val="0"/>
              <w:spacing w:before="0" w:after="283"/>
              <w:jc w:val="start"/>
              <w:rPr/>
            </w:pPr>
            <w:r>
              <w:rPr/>
              <w:t xml:space="preserve">1 </w:t>
            </w:r>
          </w:p>
        </w:tc>
        <w:tc>
          <w:tcPr>
            <w:tcW w:w="286" w:type="dxa"/>
            <w:tcBorders/>
            <w:vAlign w:val="center"/>
          </w:tcPr>
          <w:p>
            <w:pPr>
              <w:pStyle w:val="TableContents"/>
              <w:bidi w:val="0"/>
              <w:spacing w:before="0" w:after="283"/>
              <w:jc w:val="start"/>
              <w:rPr/>
            </w:pPr>
            <w:r>
              <w:rPr/>
              <w:t xml:space="preserve">2 </w:t>
            </w:r>
          </w:p>
        </w:tc>
        <w:tc>
          <w:tcPr>
            <w:tcW w:w="286" w:type="dxa"/>
            <w:tcBorders/>
            <w:vAlign w:val="center"/>
          </w:tcPr>
          <w:p>
            <w:pPr>
              <w:pStyle w:val="TableContents"/>
              <w:bidi w:val="0"/>
              <w:spacing w:before="0" w:after="283"/>
              <w:jc w:val="start"/>
              <w:rPr/>
            </w:pPr>
            <w:r>
              <w:rPr/>
              <w:t xml:space="preserve">3 </w:t>
            </w:r>
          </w:p>
        </w:tc>
        <w:tc>
          <w:tcPr>
            <w:tcW w:w="286" w:type="dxa"/>
            <w:tcBorders/>
            <w:vAlign w:val="center"/>
          </w:tcPr>
          <w:p>
            <w:pPr>
              <w:pStyle w:val="TableContents"/>
              <w:bidi w:val="0"/>
              <w:spacing w:before="0" w:after="283"/>
              <w:jc w:val="start"/>
              <w:rPr/>
            </w:pPr>
            <w:r>
              <w:rPr/>
              <w:t xml:space="preserve">5 </w:t>
            </w:r>
          </w:p>
        </w:tc>
        <w:tc>
          <w:tcPr>
            <w:tcW w:w="406" w:type="dxa"/>
            <w:tcBorders/>
            <w:vAlign w:val="center"/>
          </w:tcPr>
          <w:p>
            <w:pPr>
              <w:pStyle w:val="TableContents"/>
              <w:bidi w:val="0"/>
              <w:spacing w:before="0" w:after="283"/>
              <w:jc w:val="start"/>
              <w:rPr/>
            </w:pPr>
            <w:r>
              <w:rPr/>
              <w:t xml:space="preserve">10 </w:t>
            </w:r>
          </w:p>
        </w:tc>
        <w:tc>
          <w:tcPr>
            <w:tcW w:w="451" w:type="dxa"/>
            <w:tcBorders/>
            <w:vAlign w:val="center"/>
          </w:tcPr>
          <w:p>
            <w:pPr>
              <w:pStyle w:val="TableContents"/>
              <w:bidi w:val="0"/>
              <w:spacing w:before="0" w:after="283"/>
              <w:jc w:val="start"/>
              <w:rPr/>
            </w:pPr>
            <w:r>
              <w:rPr/>
              <w:t xml:space="preserve">20 </w:t>
            </w:r>
          </w:p>
        </w:tc>
      </w:tr>
    </w:tbl>
    <w:tbl>
      <w:tblPr>
        <w:tblW w:w="8332" w:type="dxa"/>
        <w:jc w:val="start"/>
        <w:tblInd w:w="0" w:type="dxa"/>
        <w:tblLayout w:type="fixed"/>
        <w:tblCellMar>
          <w:top w:w="28" w:type="dxa"/>
          <w:start w:w="28" w:type="dxa"/>
          <w:bottom w:w="28" w:type="dxa"/>
          <w:end w:w="28" w:type="dxa"/>
        </w:tblCellMar>
      </w:tblPr>
      <w:tblGrid>
        <w:gridCol w:w="3961"/>
        <w:gridCol w:w="721"/>
        <w:gridCol w:w="721"/>
        <w:gridCol w:w="721"/>
        <w:gridCol w:w="721"/>
        <w:gridCol w:w="721"/>
        <w:gridCol w:w="766"/>
      </w:tblGrid>
      <w:tr>
        <w:trPr/>
        <w:tc>
          <w:tcPr>
            <w:tcW w:w="3961" w:type="dxa"/>
            <w:tcBorders/>
            <w:vAlign w:val="center"/>
          </w:tcPr>
          <w:p>
            <w:pPr>
              <w:pStyle w:val="TableContents"/>
              <w:bidi w:val="0"/>
              <w:spacing w:before="0" w:after="283"/>
              <w:jc w:val="start"/>
              <w:rPr/>
            </w:pPr>
            <w:r>
              <w:rPr/>
              <w:t xml:space="preserve">Price Elasticity of Demand </w:t>
            </w:r>
          </w:p>
        </w:tc>
        <w:tc>
          <w:tcPr>
            <w:tcW w:w="721" w:type="dxa"/>
            <w:tcBorders/>
            <w:vAlign w:val="center"/>
          </w:tcPr>
          <w:p>
            <w:pPr>
              <w:pStyle w:val="TableContents"/>
              <w:bidi w:val="0"/>
              <w:spacing w:before="0" w:after="283"/>
              <w:jc w:val="start"/>
              <w:rPr/>
            </w:pPr>
            <w:r>
              <w:rPr/>
              <w:t xml:space="preserve">-1. 20 </w:t>
            </w:r>
          </w:p>
        </w:tc>
        <w:tc>
          <w:tcPr>
            <w:tcW w:w="721" w:type="dxa"/>
            <w:tcBorders/>
            <w:vAlign w:val="center"/>
          </w:tcPr>
          <w:p>
            <w:pPr>
              <w:pStyle w:val="TableContents"/>
              <w:bidi w:val="0"/>
              <w:spacing w:before="0" w:after="283"/>
              <w:jc w:val="start"/>
              <w:rPr/>
            </w:pPr>
            <w:r>
              <w:rPr/>
              <w:t xml:space="preserve">-0. 93 </w:t>
            </w:r>
          </w:p>
        </w:tc>
        <w:tc>
          <w:tcPr>
            <w:tcW w:w="721" w:type="dxa"/>
            <w:tcBorders/>
            <w:vAlign w:val="center"/>
          </w:tcPr>
          <w:p>
            <w:pPr>
              <w:pStyle w:val="TableContents"/>
              <w:bidi w:val="0"/>
              <w:spacing w:before="0" w:after="283"/>
              <w:jc w:val="start"/>
              <w:rPr/>
            </w:pPr>
            <w:r>
              <w:rPr/>
              <w:t xml:space="preserve">-0. 75 </w:t>
            </w:r>
          </w:p>
        </w:tc>
        <w:tc>
          <w:tcPr>
            <w:tcW w:w="721" w:type="dxa"/>
            <w:tcBorders/>
            <w:vAlign w:val="center"/>
          </w:tcPr>
          <w:p>
            <w:pPr>
              <w:pStyle w:val="TableContents"/>
              <w:bidi w:val="0"/>
              <w:spacing w:before="0" w:after="283"/>
              <w:jc w:val="start"/>
              <w:rPr/>
            </w:pPr>
            <w:r>
              <w:rPr/>
              <w:t xml:space="preserve">-0. 55 </w:t>
            </w:r>
          </w:p>
        </w:tc>
        <w:tc>
          <w:tcPr>
            <w:tcW w:w="721" w:type="dxa"/>
            <w:tcBorders/>
            <w:vAlign w:val="center"/>
          </w:tcPr>
          <w:p>
            <w:pPr>
              <w:pStyle w:val="TableContents"/>
              <w:bidi w:val="0"/>
              <w:spacing w:before="0" w:after="283"/>
              <w:jc w:val="start"/>
              <w:rPr/>
            </w:pPr>
            <w:r>
              <w:rPr/>
              <w:t xml:space="preserve">-0. 42 </w:t>
            </w:r>
          </w:p>
        </w:tc>
        <w:tc>
          <w:tcPr>
            <w:tcW w:w="766" w:type="dxa"/>
            <w:tcBorders/>
            <w:vAlign w:val="center"/>
          </w:tcPr>
          <w:p>
            <w:pPr>
              <w:pStyle w:val="TableContents"/>
              <w:bidi w:val="0"/>
              <w:spacing w:before="0" w:after="283"/>
              <w:jc w:val="start"/>
              <w:rPr/>
            </w:pPr>
            <w:r>
              <w:rPr/>
              <w:t xml:space="preserve">-0. 40 </w:t>
            </w:r>
          </w:p>
        </w:tc>
      </w:tr>
      <w:tr>
        <w:trPr/>
        <w:tc>
          <w:tcPr>
            <w:tcW w:w="3961" w:type="dxa"/>
            <w:tcBorders/>
            <w:vAlign w:val="center"/>
          </w:tcPr>
          <w:p>
            <w:pPr>
              <w:pStyle w:val="TableContents"/>
              <w:bidi w:val="0"/>
              <w:spacing w:before="0" w:after="283"/>
              <w:jc w:val="start"/>
              <w:rPr/>
            </w:pPr>
            <w:r>
              <w:rPr/>
              <w:t xml:space="preserve">Relative Change in Elasticity to 1st year </w:t>
            </w:r>
          </w:p>
        </w:tc>
        <w:tc>
          <w:tcPr>
            <w:tcW w:w="721" w:type="dxa"/>
            <w:tcBorders/>
            <w:vAlign w:val="center"/>
          </w:tcPr>
          <w:p>
            <w:pPr>
              <w:pStyle w:val="TableContents"/>
              <w:bidi w:val="0"/>
              <w:spacing w:before="0" w:after="283"/>
              <w:jc w:val="start"/>
              <w:rPr/>
            </w:pPr>
            <w:r>
              <w:rPr/>
              <w:t xml:space="preserve">1. 00 </w:t>
            </w:r>
          </w:p>
        </w:tc>
        <w:tc>
          <w:tcPr>
            <w:tcW w:w="721" w:type="dxa"/>
            <w:tcBorders/>
            <w:vAlign w:val="center"/>
          </w:tcPr>
          <w:p>
            <w:pPr>
              <w:pStyle w:val="TableContents"/>
              <w:bidi w:val="0"/>
              <w:spacing w:before="0" w:after="283"/>
              <w:jc w:val="start"/>
              <w:rPr/>
            </w:pPr>
            <w:r>
              <w:rPr/>
              <w:t xml:space="preserve">0. 78 </w:t>
            </w:r>
          </w:p>
        </w:tc>
        <w:tc>
          <w:tcPr>
            <w:tcW w:w="721" w:type="dxa"/>
            <w:tcBorders/>
            <w:vAlign w:val="center"/>
          </w:tcPr>
          <w:p>
            <w:pPr>
              <w:pStyle w:val="TableContents"/>
              <w:bidi w:val="0"/>
              <w:spacing w:before="0" w:after="283"/>
              <w:jc w:val="start"/>
              <w:rPr/>
            </w:pPr>
            <w:r>
              <w:rPr/>
              <w:t xml:space="preserve">0. 63 </w:t>
            </w:r>
          </w:p>
        </w:tc>
        <w:tc>
          <w:tcPr>
            <w:tcW w:w="721" w:type="dxa"/>
            <w:tcBorders/>
            <w:vAlign w:val="center"/>
          </w:tcPr>
          <w:p>
            <w:pPr>
              <w:pStyle w:val="TableContents"/>
              <w:bidi w:val="0"/>
              <w:spacing w:before="0" w:after="283"/>
              <w:jc w:val="start"/>
              <w:rPr/>
            </w:pPr>
            <w:r>
              <w:rPr/>
              <w:t xml:space="preserve">0. 46 </w:t>
            </w:r>
          </w:p>
        </w:tc>
        <w:tc>
          <w:tcPr>
            <w:tcW w:w="721" w:type="dxa"/>
            <w:tcBorders/>
            <w:vAlign w:val="center"/>
          </w:tcPr>
          <w:p>
            <w:pPr>
              <w:pStyle w:val="TableContents"/>
              <w:bidi w:val="0"/>
              <w:spacing w:before="0" w:after="283"/>
              <w:jc w:val="start"/>
              <w:rPr/>
            </w:pPr>
            <w:r>
              <w:rPr/>
              <w:t xml:space="preserve">0. 35 </w:t>
            </w:r>
          </w:p>
        </w:tc>
        <w:tc>
          <w:tcPr>
            <w:tcW w:w="766" w:type="dxa"/>
            <w:tcBorders/>
            <w:vAlign w:val="center"/>
          </w:tcPr>
          <w:p>
            <w:pPr>
              <w:pStyle w:val="TableContents"/>
              <w:bidi w:val="0"/>
              <w:spacing w:before="0" w:after="283"/>
              <w:jc w:val="start"/>
              <w:rPr/>
            </w:pPr>
            <w:r>
              <w:rPr/>
              <w:t xml:space="preserve">0. 33 </w:t>
            </w:r>
          </w:p>
        </w:tc>
      </w:tr>
    </w:tbl>
    <w:p>
      <w:pPr>
        <w:pStyle w:val="Heading3"/>
        <w:bidi w:val="0"/>
        <w:jc w:val="start"/>
        <w:rPr/>
      </w:pPr>
      <w:r>
        <w:rPr/>
        <w:t xml:space="preserve">Change in </w:t>
      </w:r>
      <w:r>
        <w:rPr>
          <w:rStyle w:val="Emphasis"/>
        </w:rPr>
        <w:t xml:space="preserve">Relative </w:t>
      </w:r>
      <w:r>
        <w:rPr/>
        <w:t xml:space="preserve">Price Elasticity for Home Appliances following a Purchase Price Change </w:t>
      </w:r>
    </w:p>
    <w:tbl>
      <w:tblPr>
        <w:tblW w:w="3151" w:type="dxa"/>
        <w:jc w:val="start"/>
        <w:tblInd w:w="0" w:type="dxa"/>
        <w:tblLayout w:type="fixed"/>
        <w:tblCellMar>
          <w:top w:w="28" w:type="dxa"/>
          <w:start w:w="28" w:type="dxa"/>
          <w:bottom w:w="28" w:type="dxa"/>
          <w:end w:w="28" w:type="dxa"/>
        </w:tblCellMar>
      </w:tblPr>
      <w:tblGrid>
        <w:gridCol w:w="3151"/>
      </w:tblGrid>
      <w:tr>
        <w:trPr/>
        <w:tc>
          <w:tcPr>
            <w:tcW w:w="3151" w:type="dxa"/>
            <w:tcBorders/>
            <w:vAlign w:val="center"/>
          </w:tcPr>
          <w:p>
            <w:pPr>
              <w:pStyle w:val="TableContents"/>
              <w:bidi w:val="0"/>
              <w:spacing w:before="0" w:after="283"/>
              <w:jc w:val="start"/>
              <w:rPr/>
            </w:pPr>
            <w:r>
              <w:rPr/>
              <w:t xml:space="preserve">Years Following Price Change </w:t>
            </w:r>
          </w:p>
        </w:tc>
      </w:tr>
    </w:tbl>
    <w:tbl>
      <w:tblPr>
        <w:tblW w:w="2016" w:type="dxa"/>
        <w:jc w:val="start"/>
        <w:tblInd w:w="0" w:type="dxa"/>
        <w:tblLayout w:type="fixed"/>
        <w:tblCellMar>
          <w:top w:w="28" w:type="dxa"/>
          <w:start w:w="28" w:type="dxa"/>
          <w:bottom w:w="28" w:type="dxa"/>
          <w:end w:w="28" w:type="dxa"/>
        </w:tblCellMar>
      </w:tblPr>
      <w:tblGrid>
        <w:gridCol w:w="301"/>
        <w:gridCol w:w="286"/>
        <w:gridCol w:w="286"/>
        <w:gridCol w:w="286"/>
        <w:gridCol w:w="406"/>
        <w:gridCol w:w="451"/>
      </w:tblGrid>
      <w:tr>
        <w:trPr/>
        <w:tc>
          <w:tcPr>
            <w:tcW w:w="301" w:type="dxa"/>
            <w:tcBorders/>
            <w:vAlign w:val="center"/>
          </w:tcPr>
          <w:p>
            <w:pPr>
              <w:pStyle w:val="TableContents"/>
              <w:bidi w:val="0"/>
              <w:spacing w:before="0" w:after="283"/>
              <w:jc w:val="start"/>
              <w:rPr/>
            </w:pPr>
            <w:r>
              <w:rPr/>
              <w:t xml:space="preserve">1 </w:t>
            </w:r>
          </w:p>
        </w:tc>
        <w:tc>
          <w:tcPr>
            <w:tcW w:w="286" w:type="dxa"/>
            <w:tcBorders/>
            <w:vAlign w:val="center"/>
          </w:tcPr>
          <w:p>
            <w:pPr>
              <w:pStyle w:val="TableContents"/>
              <w:bidi w:val="0"/>
              <w:spacing w:before="0" w:after="283"/>
              <w:jc w:val="start"/>
              <w:rPr/>
            </w:pPr>
            <w:r>
              <w:rPr/>
              <w:t xml:space="preserve">2 </w:t>
            </w:r>
          </w:p>
        </w:tc>
        <w:tc>
          <w:tcPr>
            <w:tcW w:w="286" w:type="dxa"/>
            <w:tcBorders/>
            <w:vAlign w:val="center"/>
          </w:tcPr>
          <w:p>
            <w:pPr>
              <w:pStyle w:val="TableContents"/>
              <w:bidi w:val="0"/>
              <w:spacing w:before="0" w:after="283"/>
              <w:jc w:val="start"/>
              <w:rPr/>
            </w:pPr>
            <w:r>
              <w:rPr/>
              <w:t xml:space="preserve">3 </w:t>
            </w:r>
          </w:p>
        </w:tc>
        <w:tc>
          <w:tcPr>
            <w:tcW w:w="286" w:type="dxa"/>
            <w:tcBorders/>
            <w:vAlign w:val="center"/>
          </w:tcPr>
          <w:p>
            <w:pPr>
              <w:pStyle w:val="TableContents"/>
              <w:bidi w:val="0"/>
              <w:spacing w:before="0" w:after="283"/>
              <w:jc w:val="start"/>
              <w:rPr/>
            </w:pPr>
            <w:r>
              <w:rPr/>
              <w:t xml:space="preserve">5 </w:t>
            </w:r>
          </w:p>
        </w:tc>
        <w:tc>
          <w:tcPr>
            <w:tcW w:w="406" w:type="dxa"/>
            <w:tcBorders/>
            <w:vAlign w:val="center"/>
          </w:tcPr>
          <w:p>
            <w:pPr>
              <w:pStyle w:val="TableContents"/>
              <w:bidi w:val="0"/>
              <w:spacing w:before="0" w:after="283"/>
              <w:jc w:val="start"/>
              <w:rPr/>
            </w:pPr>
            <w:r>
              <w:rPr/>
              <w:t xml:space="preserve">10 </w:t>
            </w:r>
          </w:p>
        </w:tc>
        <w:tc>
          <w:tcPr>
            <w:tcW w:w="451" w:type="dxa"/>
            <w:tcBorders/>
            <w:vAlign w:val="center"/>
          </w:tcPr>
          <w:p>
            <w:pPr>
              <w:pStyle w:val="TableContents"/>
              <w:bidi w:val="0"/>
              <w:spacing w:before="0" w:after="283"/>
              <w:jc w:val="start"/>
              <w:rPr/>
            </w:pPr>
            <w:r>
              <w:rPr/>
              <w:t xml:space="preserve">20 </w:t>
            </w:r>
          </w:p>
        </w:tc>
      </w:tr>
    </w:tbl>
    <w:tbl>
      <w:tblPr>
        <w:tblW w:w="8332" w:type="dxa"/>
        <w:jc w:val="start"/>
        <w:tblInd w:w="0" w:type="dxa"/>
        <w:tblLayout w:type="fixed"/>
        <w:tblCellMar>
          <w:top w:w="28" w:type="dxa"/>
          <w:start w:w="28" w:type="dxa"/>
          <w:bottom w:w="28" w:type="dxa"/>
          <w:end w:w="28" w:type="dxa"/>
        </w:tblCellMar>
      </w:tblPr>
      <w:tblGrid>
        <w:gridCol w:w="3961"/>
        <w:gridCol w:w="721"/>
        <w:gridCol w:w="721"/>
        <w:gridCol w:w="721"/>
        <w:gridCol w:w="721"/>
        <w:gridCol w:w="721"/>
        <w:gridCol w:w="766"/>
      </w:tblGrid>
      <w:tr>
        <w:trPr/>
        <w:tc>
          <w:tcPr>
            <w:tcW w:w="3961" w:type="dxa"/>
            <w:tcBorders/>
            <w:vAlign w:val="center"/>
          </w:tcPr>
          <w:p>
            <w:pPr>
              <w:pStyle w:val="TableContents"/>
              <w:bidi w:val="0"/>
              <w:spacing w:before="0" w:after="283"/>
              <w:jc w:val="start"/>
              <w:rPr/>
            </w:pPr>
            <w:r>
              <w:rPr/>
              <w:t xml:space="preserve">Relative Change in Elasticity to 1st year </w:t>
            </w:r>
          </w:p>
        </w:tc>
        <w:tc>
          <w:tcPr>
            <w:tcW w:w="721" w:type="dxa"/>
            <w:tcBorders/>
            <w:vAlign w:val="center"/>
          </w:tcPr>
          <w:p>
            <w:pPr>
              <w:pStyle w:val="TableContents"/>
              <w:bidi w:val="0"/>
              <w:spacing w:before="0" w:after="283"/>
              <w:jc w:val="start"/>
              <w:rPr/>
            </w:pPr>
            <w:r>
              <w:rPr/>
              <w:t xml:space="preserve">1. 00 </w:t>
            </w:r>
          </w:p>
        </w:tc>
        <w:tc>
          <w:tcPr>
            <w:tcW w:w="721" w:type="dxa"/>
            <w:tcBorders/>
            <w:vAlign w:val="center"/>
          </w:tcPr>
          <w:p>
            <w:pPr>
              <w:pStyle w:val="TableContents"/>
              <w:bidi w:val="0"/>
              <w:spacing w:before="0" w:after="283"/>
              <w:jc w:val="start"/>
              <w:rPr/>
            </w:pPr>
            <w:r>
              <w:rPr/>
              <w:t xml:space="preserve">0. 78 </w:t>
            </w:r>
          </w:p>
        </w:tc>
        <w:tc>
          <w:tcPr>
            <w:tcW w:w="721" w:type="dxa"/>
            <w:tcBorders/>
            <w:vAlign w:val="center"/>
          </w:tcPr>
          <w:p>
            <w:pPr>
              <w:pStyle w:val="TableContents"/>
              <w:bidi w:val="0"/>
              <w:spacing w:before="0" w:after="283"/>
              <w:jc w:val="start"/>
              <w:rPr/>
            </w:pPr>
            <w:r>
              <w:rPr/>
              <w:t xml:space="preserve">0. 63 </w:t>
            </w:r>
          </w:p>
        </w:tc>
        <w:tc>
          <w:tcPr>
            <w:tcW w:w="721" w:type="dxa"/>
            <w:tcBorders/>
            <w:vAlign w:val="center"/>
          </w:tcPr>
          <w:p>
            <w:pPr>
              <w:pStyle w:val="TableContents"/>
              <w:bidi w:val="0"/>
              <w:spacing w:before="0" w:after="283"/>
              <w:jc w:val="start"/>
              <w:rPr/>
            </w:pPr>
            <w:r>
              <w:rPr/>
              <w:t xml:space="preserve">0. 46 </w:t>
            </w:r>
          </w:p>
        </w:tc>
        <w:tc>
          <w:tcPr>
            <w:tcW w:w="721" w:type="dxa"/>
            <w:tcBorders/>
            <w:vAlign w:val="center"/>
          </w:tcPr>
          <w:p>
            <w:pPr>
              <w:pStyle w:val="TableContents"/>
              <w:bidi w:val="0"/>
              <w:spacing w:before="0" w:after="283"/>
              <w:jc w:val="start"/>
              <w:rPr/>
            </w:pPr>
            <w:r>
              <w:rPr/>
              <w:t xml:space="preserve">0. 35 </w:t>
            </w:r>
          </w:p>
        </w:tc>
        <w:tc>
          <w:tcPr>
            <w:tcW w:w="766" w:type="dxa"/>
            <w:tcBorders/>
            <w:vAlign w:val="center"/>
          </w:tcPr>
          <w:p>
            <w:pPr>
              <w:pStyle w:val="TableContents"/>
              <w:bidi w:val="0"/>
              <w:spacing w:before="0" w:after="283"/>
              <w:jc w:val="start"/>
              <w:rPr/>
            </w:pPr>
            <w:r>
              <w:rPr/>
              <w:t xml:space="preserve">0. 33 </w:t>
            </w:r>
          </w:p>
        </w:tc>
      </w:tr>
      <w:tr>
        <w:trPr/>
        <w:tc>
          <w:tcPr>
            <w:tcW w:w="3961" w:type="dxa"/>
            <w:tcBorders/>
            <w:vAlign w:val="center"/>
          </w:tcPr>
          <w:p>
            <w:pPr>
              <w:pStyle w:val="TableContents"/>
              <w:bidi w:val="0"/>
              <w:spacing w:before="0" w:after="283"/>
              <w:jc w:val="start"/>
              <w:rPr/>
            </w:pPr>
            <w:r>
              <w:rPr/>
              <w:t xml:space="preserve">Relative Price Elasticity </w:t>
            </w:r>
          </w:p>
        </w:tc>
        <w:tc>
          <w:tcPr>
            <w:tcW w:w="721" w:type="dxa"/>
            <w:tcBorders/>
            <w:vAlign w:val="center"/>
          </w:tcPr>
          <w:p>
            <w:pPr>
              <w:pStyle w:val="TableContents"/>
              <w:bidi w:val="0"/>
              <w:spacing w:before="0" w:after="283"/>
              <w:jc w:val="start"/>
              <w:rPr/>
            </w:pPr>
            <w:r>
              <w:rPr/>
              <w:t xml:space="preserve">-0. 34 </w:t>
            </w:r>
          </w:p>
        </w:tc>
        <w:tc>
          <w:tcPr>
            <w:tcW w:w="721" w:type="dxa"/>
            <w:tcBorders/>
            <w:vAlign w:val="center"/>
          </w:tcPr>
          <w:p>
            <w:pPr>
              <w:pStyle w:val="TableContents"/>
              <w:bidi w:val="0"/>
              <w:spacing w:before="0" w:after="283"/>
              <w:jc w:val="start"/>
              <w:rPr/>
            </w:pPr>
            <w:r>
              <w:rPr/>
              <w:t xml:space="preserve">-0. 26 </w:t>
            </w:r>
          </w:p>
        </w:tc>
        <w:tc>
          <w:tcPr>
            <w:tcW w:w="721" w:type="dxa"/>
            <w:tcBorders/>
            <w:vAlign w:val="center"/>
          </w:tcPr>
          <w:p>
            <w:pPr>
              <w:pStyle w:val="TableContents"/>
              <w:bidi w:val="0"/>
              <w:spacing w:before="0" w:after="283"/>
              <w:jc w:val="start"/>
              <w:rPr/>
            </w:pPr>
            <w:r>
              <w:rPr/>
              <w:t xml:space="preserve">-0. 21 </w:t>
            </w:r>
          </w:p>
        </w:tc>
        <w:tc>
          <w:tcPr>
            <w:tcW w:w="721" w:type="dxa"/>
            <w:tcBorders/>
            <w:vAlign w:val="center"/>
          </w:tcPr>
          <w:p>
            <w:pPr>
              <w:pStyle w:val="TableContents"/>
              <w:bidi w:val="0"/>
              <w:spacing w:before="0" w:after="283"/>
              <w:jc w:val="start"/>
              <w:rPr/>
            </w:pPr>
            <w:r>
              <w:rPr/>
              <w:t xml:space="preserve">-0. 16 </w:t>
            </w:r>
          </w:p>
        </w:tc>
        <w:tc>
          <w:tcPr>
            <w:tcW w:w="721" w:type="dxa"/>
            <w:tcBorders/>
            <w:vAlign w:val="center"/>
          </w:tcPr>
          <w:p>
            <w:pPr>
              <w:pStyle w:val="TableContents"/>
              <w:bidi w:val="0"/>
              <w:spacing w:before="0" w:after="283"/>
              <w:jc w:val="start"/>
              <w:rPr/>
            </w:pPr>
            <w:r>
              <w:rPr/>
              <w:t xml:space="preserve">-0. 12 </w:t>
            </w:r>
          </w:p>
        </w:tc>
        <w:tc>
          <w:tcPr>
            <w:tcW w:w="766" w:type="dxa"/>
            <w:tcBorders/>
            <w:vAlign w:val="center"/>
          </w:tcPr>
          <w:p>
            <w:pPr>
              <w:pStyle w:val="TableContents"/>
              <w:bidi w:val="0"/>
              <w:spacing w:before="0" w:after="283"/>
              <w:jc w:val="start"/>
              <w:rPr/>
            </w:pPr>
            <w:r>
              <w:rPr/>
              <w:t xml:space="preserve">-0. 11 </w:t>
            </w:r>
          </w:p>
        </w:tc>
      </w:tr>
    </w:tbl>
    <w:p>
      <w:pPr>
        <w:pStyle w:val="TextBody"/>
        <w:bidi w:val="0"/>
        <w:spacing w:before="0" w:after="283"/>
        <w:jc w:val="start"/>
        <w:rPr/>
      </w:pPr>
      <w:r>
        <w:rPr/>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https://assignbuster.com/price-elasticity-of-demand-essay-samples/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Price elasticity of demand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character" w:styleId="Emphasis">
    <w:name w:val="Emphasis"/>
    <w:qFormat/>
    <w:rPr>
      <w:i/>
      <w:iCs/>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ce-elasticity-of-demand-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Price elasticity of demand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elasticity of demand</dc:title>
  <dc:subject>Others;</dc:subject>
  <dc:creator>AssignBuster</dc:creator>
  <cp:keywords/>
  <dc:description>The price elasticity of demand, E d is defined as the magnitude of: proportionate change in quantity demanded E d = proportionate change in price Sinc...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