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Personalised cancer treatment: known markers in treatment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known-markers-and-what-they-mean-for-treatment">
        <w:r>
          <w:rPr>
            <w:rStyle w:val="a8"/>
          </w:rPr>
          <w:t xml:space="preserve">Known markers and what they mean for treatment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overview">
        <w:r>
          <w:rPr>
            <w:rStyle w:val="a8"/>
          </w:rPr>
          <w:t xml:space="preserve">Overview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drug-target-markers">
        <w:r>
          <w:rPr>
            <w:rStyle w:val="a8"/>
          </w:rPr>
          <w:t xml:space="preserve">Drug target markers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diagnostic-and-prognostic-markers">
        <w:r>
          <w:rPr>
            <w:rStyle w:val="a8"/>
          </w:rPr>
          <w:t xml:space="preserve">Diagnostic and prognostic markers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meta-description">
        <w:r>
          <w:rPr>
            <w:rStyle w:val="a8"/>
          </w:rPr>
          <w:t xml:space="preserve">Meta description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keywords">
        <w:r>
          <w:rPr>
            <w:rStyle w:val="a8"/>
          </w:rPr>
          <w:t xml:space="preserve">Keywords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copyscape">
        <w:r>
          <w:rPr>
            <w:rStyle w:val="a8"/>
          </w:rPr>
          <w:t xml:space="preserve">Copyscape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Personalised cancer treatment – known markers and what they mean for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(Jump to)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markers and what they mean for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target markers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Diagnostic and prognostic markers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 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Copyscape </w:t>
      </w:r>
    </w:p>
    <w:p>
      <w:pPr>
        <w:pStyle w:val="Heading2"/>
        <w:bidi w:val="0"/>
        <w:jc w:val="start"/>
        <w:rPr/>
      </w:pPr>
      <w:bookmarkStart w:id="1" w:name="known-markers-and-what-they-mean-for-tre"/>
      <w:bookmarkEnd w:id="1"/>
      <w:r>
        <w:rPr/>
        <w:t xml:space="preserve">Known markers and what they mean for treatment </w:t>
      </w:r>
    </w:p>
    <w:p>
      <w:pPr>
        <w:pStyle w:val="Heading2"/>
        <w:bidi w:val="0"/>
        <w:jc w:val="start"/>
        <w:rPr/>
      </w:pPr>
      <w:bookmarkStart w:id="2" w:name="overview"/>
      <w:bookmarkEnd w:id="2"/>
      <w:r>
        <w:rPr/>
        <w:t xml:space="preserve">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Personalised, targeted and hormonal treatments all depend on genetic mutations that can be identified in cancer cells to be effective. These mutations are sometimes referred to as “ markers”. The markers can manifest through over-expression, lack of expression or mutated expression of specific proteins.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markers can be targeted using specific treatments whereas some can act as measurements for disease diagnosis, prognosis and treatment response. </w:t>
      </w:r>
    </w:p>
    <w:p>
      <w:pPr>
        <w:pStyle w:val="Heading2"/>
        <w:bidi w:val="0"/>
        <w:jc w:val="start"/>
        <w:rPr/>
      </w:pPr>
      <w:bookmarkStart w:id="3" w:name="drug-target-markers"/>
      <w:bookmarkEnd w:id="3"/>
      <w:r>
        <w:rPr/>
        <w:t xml:space="preserve">Drug target markers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genes listed below have all been associated in cancer, the majority of which can also be treated. </w:t>
      </w:r>
    </w:p>
    <w:tbl>
      <w:tblPr>
        <w:tblW w:w="823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96"/>
        <w:gridCol w:w="2750"/>
        <w:gridCol w:w="3185"/>
      </w:tblGrid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Known marker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Cancers they’re associated with / may benefit from targeted therapy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Related treatment/response to treatment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ALK[EB1]– anaplastic lymphoma kinase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Anaplastic large-cell lymphoma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Familial neuroblastoma (nerve cell)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Non-small cell lung cancer (NSCLC)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Crizotinib (Xalkori®)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Pemetrexed (Alimta®)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AR– androgen receptor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Bladder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Ovarian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Prostate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Abarelix (Plenaxis®)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Bicalutamide (Casodex®)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Flutamide (Eulexin®)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Gonadorelin (Factrel®)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Goserelin (Zoladex®)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Leuprolide (Lupron®)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BRAF– v-raf murine sarcoma viral oncogene homolog B1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Lung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Melanoma (skin)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Nervous system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Thyroid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Cetuximab (Erbitux®)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Panitumumab (Vectibix®)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Vemurafenib (Zelboraf®)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BRCA1– breast cancer susceptibility gene 1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Lung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Cisplatin (Platinol®)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Prophylactic surgery (prevention)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BRCA2– breast cancer susceptibility gene 2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Tamoxifen (Nolvadex®)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Prophylactic surgery (prevention)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c-Kit/CD117/SCFR – mast stem cell factor receptor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Acute myelogenous leukemia (AML)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Gastrointestinal stromal tumour (GIST)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Melanoma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Imatinib (Gleevec®)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Sorafenib (Nexavar®)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Sunitinib (Sutent®)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c-MET/HGFR – mesenchymal epithelial transition factor/hepatocyte growth factor receptor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Erlotinib (Tarceva®)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Gefitinib (Iressa®)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COX-2/PTGS2 – cyclooxygenase-2/ prostaglandin-endoperoxide synthase-2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NSCLC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Celecoxib (Celebrex®)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EGFR/ErbB-1/HER1 – epidermal growth factor receptor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NSCLC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Cetuximab (Erbitux®)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Erlotinib (Tarceva®)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Gefitinib (Iressa®)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Panitumumab (Vectibix®)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ER– oestrogen receptor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Female reproductive tract (cervical, fallopian, ovarian, uterine)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Anastrazole (Arimidex®)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Exemestane (Aromasin®)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Fulvestrant (Faslodex®)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Goserelin (Zoladex®)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Letrozole (Femara®)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Leuprolide (Eligard®, Lupron®, Viadur®)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Medroxyprogesterone, (Provera®, Amen®, Curretab®, Cycrin®)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Megestrol acetate (Megace®, Megace® ES)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Tamoxifen (Nolvadex®)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Toremifene (Fareston®)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ERCC1– excision repair cross-complementation group 1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Bladder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Colorectal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Lung (NSCLC and SCLC)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Carboplatin (Paraplatin®)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Oxaliplatin (Eloxatin®)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HER2/HER2neu/ErbB-2 – human epidermal growth factor receptor 2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Colorectal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Gastroesophageal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Doxorubicin (Adriamycin®, Rubex®)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Epirubicin (Ellence®)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Lapatinib (Tykerb®)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Liposomal doxorubicin (Caelyx®, Myocet®),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Trastuzumab (Herceptin®)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KRAS– Kirsten murine sarcoma virus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Pancreatic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Cetuximab (Erbitux®)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Erlotinib (Tarceva®)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Gefitinib (Iressa®)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Panitumumab (Vectibix®)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MGMT– O-6-methylguanine-DNA methyltransferase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Glioblastoma multiforme (brain)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Melanoma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Oesophageal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Oligodendrogliomas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Pituitary gland carcinoma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Resistant to temozolomide (Temodar®)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MRP1– multidrug resistance-associated protein 1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Head and neck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Lymphoma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Resistant to doxorubicin (Adrimycin®), vinca alkaloids, methotrexate (Trexall®)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PGP– p-glycoprotein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Head and neck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Lymphoma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Resistant to doxorubicin (Adriamycin®), epirubicin (Ellence®), liposomal-doxorubicin (Doxil®), paclitaxel (Taxol®), docetaxel (Taxotere®), vinblastine (Velban®), vincristine (Oncovin®), vinorelbine (Navelbine®)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PIK3CAα– phosphatidylinositol-4, 5-bisphosphate 3-kinase, catalytic subunit alpha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Colorectal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Glioblastoma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Lung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Lapatinib (Tykerb®)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Resistant to cetuximab (Erbitux®), panitumumab (Vectibix)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Decreased response to trastuzumab (Herceptin®)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PR– progesterone receptor (*)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Female genital tract cancer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Anastrozole (Arimidex®)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Exemestane (Aromasin®)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Foremifene (Fareston®)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Fulvestrant (Faslodex®)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Gonadorelin (Factrel®)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Goserelin (Zoladex®)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Letrozole (Femara®)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Leuprolide (Eligard®, Lupron®, Viadur®)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Medroxyprogesterone (Provera®, Amen®, Curretab®, Cycrin®)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Megestrol acetate (Megace®, Megace® ES)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Tamoxifen (Nolvadex®)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PTEN– phosphatase and tensin homolog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Glioblastoma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Head and neck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NSCLC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Resistant to cetuximab (Erbitux®), erlotinib (Tarceva®), gefitinib (Iressa®), panitumumab (Vectibix®), trastuzumab (Herceptin®)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RRM1– ribonucleotide reductase subunit M1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Pancreatic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Decreased response to gemcitabine (Gemzar®), hydroxyurea (Hydrea®, Droxia®)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SPARC– secreted protein acidic rich in cysteine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Head and neck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Melanoma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Pancreatic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Albumin-bound paclitaxel/nab-paclitaxel (Abraxane®)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TLE3– transducin-like enhancer of split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Docetaxel (Taxotere 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Paclitaxel (Taxol®),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TOPO2α– topoisomerase IIα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Doxorubicin (Adriamycin®)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Epirubicin (Ellence®, Pharmorubucin®)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Liposomal doxorubicin (Caelyx®, Myocet®)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TS– thymidylate synthetase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Colon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Head and neck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Liver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Pancreatic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Resistant to 5-fluorouracil (Adrucil®), cytarabine (Cytosar-U®), pemetrexed (Alimta®) </w:t>
            </w:r>
          </w:p>
        </w:tc>
      </w:tr>
      <w:tr>
        <w:trPr/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TUBB3– Class III -tubulin </w:t>
            </w:r>
          </w:p>
        </w:tc>
        <w:tc>
          <w:tcPr>
            <w:tcW w:w="2750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NSCLC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3185" w:type="dxa"/>
            <w:tcBorders/>
            <w:vAlign w:val="center"/>
          </w:tcPr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Docetaxel (Taxotere 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Paclitaxel (Taxol®) </w:t>
            </w:r>
          </w:p>
          <w:p>
            <w:pPr>
              <w:pStyle w:val="TableContents"/>
              <w:numPr>
                <w:ilvl w:val="0"/>
                <w:numId w:val="3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Vinorelbine (Navelbine®)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(*) – Targetable genes and proteins that can also be measured to determine treatment response, cancer diagnosis and prognosis. </w:t>
      </w:r>
    </w:p>
    <w:p>
      <w:pPr>
        <w:pStyle w:val="Heading2"/>
        <w:bidi w:val="0"/>
        <w:jc w:val="start"/>
        <w:rPr/>
      </w:pPr>
      <w:bookmarkStart w:id="4" w:name="diagnostic-and-prognostic-markers"/>
      <w:bookmarkEnd w:id="4"/>
      <w:r>
        <w:rPr/>
        <w:t xml:space="preserve">Diagnostic and prognostic markers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markers are all related to diagnosis, prognosis and treatment progress. </w:t>
      </w:r>
    </w:p>
    <w:tbl>
      <w:tblPr>
        <w:tblW w:w="8231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2"/>
        <w:gridCol w:w="3174"/>
        <w:gridCol w:w="2445"/>
      </w:tblGrid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Known marker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Associated cancer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Role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α (alpha)-fetoprotein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Germ cell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Liver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Germ cell tumour staging, prognosis, response to treatment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Liver cancer diagnosis, response to treatment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β (beta)-2-microglobulin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Chronic lymphocytic leukaemia (CLL)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Lymphoma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Multiple myeloma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Prognosis, response to treatment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β (beta)-human chorionic gonadotropin (β-hCG)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Choriocarcinoma (uterine)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Testicular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Staging, prognosis, response to treatment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BCR-ABL fusion gene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Chronic myeloid leukaemia (CML)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disease status monitoring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BRAF (mutation V600E)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Colorectal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Melanoma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Response to targeted treatment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CA15-3/CA27. 29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Breast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success,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CA19-9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Bile duct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Gallbladder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Gastric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Pancreatic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success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CA-125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treatment response,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Calcitonin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Medullary thyroid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treatment success,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Carcinoembryonic antigen (CEA)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Breast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Colorectal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Breast cancer recurrence, treatment response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Colorectal disease advance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CD20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Non-Hodgkin lymphoma (NHL)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Response to targeted treatment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Chromogranin A (CgA)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Neuroendocrine tumours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treatment response,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Chromosomes 3, 7, 17, 9p21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Bladder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Cytokeratin fragments 21-1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Lung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Fibrin/fibrinogen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Bladder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response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Human epididymis protein 4 (HE4)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Ovarian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Disease progression,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Immunoglobulins (antibodies)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0"/>
              <w:ind w:start="709" w:hanging="283"/>
              <w:jc w:val="start"/>
              <w:rPr/>
            </w:pPr>
            <w:r>
              <w:rPr/>
              <w:t xml:space="preserve">Multiple myeloma (MM) </w:t>
            </w:r>
          </w:p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Waldenström macroglobulinemia (blood)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treatment response,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Lactate dehydrogenase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Germ cell tumours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Staging, prognosis, treatment response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Nuclear matrix protein 22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Bladder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response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Plasminogen activator inhibitor (PAI-1)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Breast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Grading, treatment planning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Prostate-specific antigen (PSA)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Prostate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Diagnosis, treatment response,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Thyroglobulin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Thyroid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Treatment response, disease recurrence </w:t>
            </w:r>
          </w:p>
        </w:tc>
      </w:tr>
      <w:tr>
        <w:trPr/>
        <w:tc>
          <w:tcPr>
            <w:tcW w:w="26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Urokinase plasminogen activator (uPA) </w:t>
            </w:r>
          </w:p>
        </w:tc>
        <w:tc>
          <w:tcPr>
            <w:tcW w:w="3174" w:type="dxa"/>
            <w:tcBorders/>
            <w:vAlign w:val="center"/>
          </w:tcPr>
          <w:p>
            <w:pPr>
              <w:pStyle w:val="TableContents"/>
              <w:numPr>
                <w:ilvl w:val="0"/>
                <w:numId w:val="4"/>
              </w:numPr>
              <w:tabs>
                <w:tab w:val="clear" w:pos="1134"/>
                <w:tab w:val="left" w:pos="709" w:leader="none"/>
              </w:tabs>
              <w:bidi w:val="0"/>
              <w:spacing w:before="0" w:after="283"/>
              <w:ind w:start="709" w:hanging="283"/>
              <w:jc w:val="start"/>
              <w:rPr/>
            </w:pPr>
            <w:r>
              <w:rPr/>
              <w:t xml:space="preserve">Breast </w:t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Grading, treatment planning </w:t>
            </w:r>
          </w:p>
        </w:tc>
      </w:tr>
    </w:tbl>
    <w:p>
      <w:pPr>
        <w:pStyle w:val="Heading2"/>
        <w:bidi w:val="0"/>
        <w:jc w:val="start"/>
        <w:rPr/>
      </w:pPr>
      <w:bookmarkStart w:id="5" w:name="meta-description"/>
      <w:bookmarkEnd w:id="5"/>
      <w:r>
        <w:rPr/>
        <w:t xml:space="preserve">Meta 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markers can help with the diagnosis and treatment of cancer and can give access to targeted therapies. </w:t>
      </w:r>
    </w:p>
    <w:p>
      <w:pPr>
        <w:pStyle w:val="Heading2"/>
        <w:bidi w:val="0"/>
        <w:jc w:val="start"/>
        <w:rPr/>
      </w:pPr>
      <w:bookmarkStart w:id="6" w:name="keywords"/>
      <w:bookmarkEnd w:id="6"/>
      <w:r>
        <w:rPr/>
        <w:t xml:space="preserve">Keywords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markers, genetic markers, diagnostic markers, drug target markers </w:t>
      </w:r>
    </w:p>
    <w:p>
      <w:pPr>
        <w:pStyle w:val="Heading2"/>
        <w:bidi w:val="0"/>
        <w:jc w:val="start"/>
        <w:rPr/>
      </w:pPr>
      <w:bookmarkStart w:id="7" w:name="copyscape"/>
      <w:bookmarkEnd w:id="7"/>
      <w:r>
        <w:rPr/>
        <w:t xml:space="preserve">Copyscape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Checked Sep 2014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CIGNPOST: KNOWN MARKERS AND WHAT THEY MEAN FOR TREATMENT© Cignpost Ltd 2014PAGE | 1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[EB1]If these are genes not proteins then they should be in italics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https://assignbuster.com/personalised-cancer-treatment-known-markers-in-treatment/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Personalised cancer treatment: known mar...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3">
    <w:abstractNumId w:val="1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4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ableContents">
    <w:name w:val="Table Contents"/>
    <w:basedOn w:val="TextBody"/>
    <w:qFormat/>
    <w:pPr/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lineRule="auto" w:line="48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ised-cancer-treatment-known-markers-in-trea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Personalised cancer treatment: known markers in treatment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Personalised cancer treatment: known markers in treatment</dc:title>
  <dc:subject>Others;</dc:subject>
  <dc:creator>AssignBuster</dc:creator>
  <cp:keywords/>
  <dc:description> Personalised cancer treatment known markers and what they mean for treatment Contents Known markers and what they mean for treatment Overview Drug ta...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