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Metronidazole c6h9n3o3 structure</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9" w:leader="none"/>
        </w:tabs>
        <w:bidi w:val="0"/>
        <w:ind w:start="709" w:hanging="283"/>
        <w:jc w:val="start"/>
        <w:rPr/>
      </w:pPr>
      <w:r>
        <w:rPr/>
        <w:t xml:space="preserve">Retention Index (Linear): </w:t>
      </w:r>
    </w:p>
    <w:tbl>
      <w:tblPr>
        <w:tblW w:w="4719" w:type="dxa"/>
        <w:jc w:val="start"/>
        <w:tblInd w:w="0" w:type="dxa"/>
        <w:tblLayout w:type="fixed"/>
        <w:tblCellMar>
          <w:top w:w="28" w:type="dxa"/>
          <w:start w:w="28" w:type="dxa"/>
          <w:bottom w:w="28" w:type="dxa"/>
          <w:end w:w="28" w:type="dxa"/>
        </w:tblCellMar>
      </w:tblPr>
      <w:tblGrid>
        <w:gridCol w:w="1913"/>
        <w:gridCol w:w="2806"/>
      </w:tblGrid>
      <w:tr>
        <w:trPr/>
        <w:tc>
          <w:tcPr>
            <w:tcW w:w="1913" w:type="dxa"/>
            <w:tcBorders/>
            <w:vAlign w:val="center"/>
          </w:tcPr>
          <w:p>
            <w:pPr>
              <w:pStyle w:val="TableContents"/>
              <w:bidi w:val="0"/>
              <w:spacing w:before="0" w:after="283"/>
              <w:jc w:val="start"/>
              <w:rPr/>
            </w:pPr>
            <w:r>
              <w:rPr/>
              <w:t xml:space="preserve">Molecular Formula </w:t>
            </w:r>
          </w:p>
        </w:tc>
        <w:tc>
          <w:tcPr>
            <w:tcW w:w="2806" w:type="dxa"/>
            <w:tcBorders/>
            <w:vAlign w:val="center"/>
          </w:tcPr>
          <w:p>
            <w:pPr>
              <w:pStyle w:val="TableContents"/>
              <w:bidi w:val="0"/>
              <w:spacing w:before="0" w:after="283"/>
              <w:jc w:val="start"/>
              <w:rPr/>
            </w:pPr>
            <w:r>
              <w:rPr/>
              <w:t xml:space="preserve">C </w:t>
            </w:r>
            <w:r>
              <w:rPr>
                <w:position w:val="-2"/>
                <w:sz w:val="19"/>
              </w:rPr>
              <w:t xml:space="preserve">6 </w:t>
            </w:r>
            <w:r>
              <w:rPr/>
              <w:t xml:space="preserve">H </w:t>
            </w:r>
            <w:r>
              <w:rPr>
                <w:position w:val="-2"/>
                <w:sz w:val="19"/>
              </w:rPr>
              <w:t xml:space="preserve">9 </w:t>
            </w:r>
            <w:r>
              <w:rPr/>
              <w:t xml:space="preserve">N </w:t>
            </w:r>
            <w:r>
              <w:rPr>
                <w:position w:val="-2"/>
                <w:sz w:val="19"/>
              </w:rPr>
              <w:t xml:space="preserve">3 </w:t>
            </w:r>
            <w:r>
              <w:rPr/>
              <w:t xml:space="preserve">O </w:t>
            </w:r>
            <w:r>
              <w:rPr>
                <w:position w:val="-2"/>
                <w:sz w:val="19"/>
              </w:rPr>
              <w:t xml:space="preserve">3 </w:t>
            </w:r>
          </w:p>
        </w:tc>
      </w:tr>
      <w:tr>
        <w:trPr/>
        <w:tc>
          <w:tcPr>
            <w:tcW w:w="1913" w:type="dxa"/>
            <w:tcBorders/>
            <w:vAlign w:val="center"/>
          </w:tcPr>
          <w:p>
            <w:pPr>
              <w:pStyle w:val="TableContents"/>
              <w:bidi w:val="0"/>
              <w:spacing w:before="0" w:after="283"/>
              <w:jc w:val="start"/>
              <w:rPr/>
            </w:pPr>
            <w:r>
              <w:rPr/>
              <w:t xml:space="preserve">Average mass </w:t>
            </w:r>
          </w:p>
        </w:tc>
        <w:tc>
          <w:tcPr>
            <w:tcW w:w="2806" w:type="dxa"/>
            <w:tcBorders/>
            <w:vAlign w:val="center"/>
          </w:tcPr>
          <w:p>
            <w:pPr>
              <w:pStyle w:val="TableContents"/>
              <w:bidi w:val="0"/>
              <w:spacing w:before="0" w:after="283"/>
              <w:jc w:val="start"/>
              <w:rPr/>
            </w:pPr>
            <w:r>
              <w:rPr/>
              <w:t xml:space="preserve">171. 154 Da </w:t>
            </w:r>
          </w:p>
        </w:tc>
      </w:tr>
      <w:tr>
        <w:trPr/>
        <w:tc>
          <w:tcPr>
            <w:tcW w:w="1913" w:type="dxa"/>
            <w:tcBorders/>
            <w:vAlign w:val="center"/>
          </w:tcPr>
          <w:p>
            <w:pPr>
              <w:pStyle w:val="TableContents"/>
              <w:bidi w:val="0"/>
              <w:spacing w:before="0" w:after="283"/>
              <w:jc w:val="start"/>
              <w:rPr/>
            </w:pPr>
            <w:r>
              <w:rPr/>
              <w:t xml:space="preserve">Density </w:t>
            </w:r>
          </w:p>
        </w:tc>
        <w:tc>
          <w:tcPr>
            <w:tcW w:w="2806" w:type="dxa"/>
            <w:tcBorders/>
            <w:vAlign w:val="center"/>
          </w:tcPr>
          <w:p>
            <w:pPr>
              <w:pStyle w:val="TableContents"/>
              <w:bidi w:val="0"/>
              <w:spacing w:before="0" w:after="283"/>
              <w:jc w:val="start"/>
              <w:rPr/>
            </w:pPr>
            <w:r>
              <w:rPr/>
              <w:t xml:space="preserve">1. 5±0. 1 g/cm </w:t>
            </w:r>
            <w:r>
              <w:rPr>
                <w:position w:val="8"/>
                <w:sz w:val="19"/>
              </w:rPr>
              <w:t xml:space="preserve">3 </w:t>
            </w:r>
          </w:p>
        </w:tc>
      </w:tr>
      <w:tr>
        <w:trPr/>
        <w:tc>
          <w:tcPr>
            <w:tcW w:w="1913" w:type="dxa"/>
            <w:tcBorders/>
            <w:vAlign w:val="center"/>
          </w:tcPr>
          <w:p>
            <w:pPr>
              <w:pStyle w:val="TableContents"/>
              <w:bidi w:val="0"/>
              <w:spacing w:before="0" w:after="283"/>
              <w:jc w:val="start"/>
              <w:rPr/>
            </w:pPr>
            <w:r>
              <w:rPr/>
              <w:t xml:space="preserve">Boiling Point </w:t>
            </w:r>
          </w:p>
        </w:tc>
        <w:tc>
          <w:tcPr>
            <w:tcW w:w="2806" w:type="dxa"/>
            <w:tcBorders/>
            <w:vAlign w:val="center"/>
          </w:tcPr>
          <w:p>
            <w:pPr>
              <w:pStyle w:val="TableContents"/>
              <w:bidi w:val="0"/>
              <w:spacing w:before="0" w:after="283"/>
              <w:jc w:val="start"/>
              <w:rPr/>
            </w:pPr>
            <w:r>
              <w:rPr/>
              <w:t xml:space="preserve">405. 4±25. 0 °C at 760 mmHg </w:t>
            </w:r>
          </w:p>
        </w:tc>
      </w:tr>
      <w:tr>
        <w:trPr/>
        <w:tc>
          <w:tcPr>
            <w:tcW w:w="1913" w:type="dxa"/>
            <w:tcBorders/>
            <w:vAlign w:val="center"/>
          </w:tcPr>
          <w:p>
            <w:pPr>
              <w:pStyle w:val="TableContents"/>
              <w:bidi w:val="0"/>
              <w:spacing w:before="0" w:after="283"/>
              <w:jc w:val="start"/>
              <w:rPr/>
            </w:pPr>
            <w:r>
              <w:rPr/>
              <w:t xml:space="preserve">Flash Point </w:t>
            </w:r>
          </w:p>
        </w:tc>
        <w:tc>
          <w:tcPr>
            <w:tcW w:w="2806" w:type="dxa"/>
            <w:tcBorders/>
            <w:vAlign w:val="center"/>
          </w:tcPr>
          <w:p>
            <w:pPr>
              <w:pStyle w:val="TableContents"/>
              <w:bidi w:val="0"/>
              <w:spacing w:before="0" w:after="283"/>
              <w:jc w:val="start"/>
              <w:rPr/>
            </w:pPr>
            <w:r>
              <w:rPr/>
              <w:t xml:space="preserve">199. 0±23. 2 °C </w:t>
            </w:r>
          </w:p>
        </w:tc>
      </w:tr>
      <w:tr>
        <w:trPr/>
        <w:tc>
          <w:tcPr>
            <w:tcW w:w="1913" w:type="dxa"/>
            <w:tcBorders/>
            <w:vAlign w:val="center"/>
          </w:tcPr>
          <w:p>
            <w:pPr>
              <w:pStyle w:val="TableContents"/>
              <w:bidi w:val="0"/>
              <w:spacing w:before="0" w:after="283"/>
              <w:jc w:val="start"/>
              <w:rPr/>
            </w:pPr>
            <w:r>
              <w:rPr/>
              <w:t xml:space="preserve">Molar Refractivity </w:t>
            </w:r>
          </w:p>
        </w:tc>
        <w:tc>
          <w:tcPr>
            <w:tcW w:w="2806" w:type="dxa"/>
            <w:tcBorders/>
            <w:vAlign w:val="center"/>
          </w:tcPr>
          <w:p>
            <w:pPr>
              <w:pStyle w:val="TableContents"/>
              <w:bidi w:val="0"/>
              <w:spacing w:before="0" w:after="283"/>
              <w:jc w:val="start"/>
              <w:rPr/>
            </w:pPr>
            <w:r>
              <w:rPr/>
              <w:t xml:space="preserve">41. 0±0. 5 cm </w:t>
            </w:r>
            <w:r>
              <w:rPr>
                <w:position w:val="8"/>
                <w:sz w:val="19"/>
              </w:rPr>
              <w:t xml:space="preserve">3 </w:t>
            </w:r>
          </w:p>
        </w:tc>
      </w:tr>
      <w:tr>
        <w:trPr/>
        <w:tc>
          <w:tcPr>
            <w:tcW w:w="1913" w:type="dxa"/>
            <w:tcBorders/>
            <w:vAlign w:val="center"/>
          </w:tcPr>
          <w:p>
            <w:pPr>
              <w:pStyle w:val="TableContents"/>
              <w:bidi w:val="0"/>
              <w:spacing w:before="0" w:after="283"/>
              <w:jc w:val="start"/>
              <w:rPr/>
            </w:pPr>
            <w:r>
              <w:rPr/>
              <w:t xml:space="preserve">Polarizability </w:t>
            </w:r>
          </w:p>
        </w:tc>
        <w:tc>
          <w:tcPr>
            <w:tcW w:w="2806" w:type="dxa"/>
            <w:tcBorders/>
            <w:vAlign w:val="center"/>
          </w:tcPr>
          <w:p>
            <w:pPr>
              <w:pStyle w:val="TableContents"/>
              <w:bidi w:val="0"/>
              <w:spacing w:before="0" w:after="283"/>
              <w:jc w:val="start"/>
              <w:rPr/>
            </w:pPr>
            <w:r>
              <w:rPr/>
              <w:t xml:space="preserve">16. 2±0. 5 10 </w:t>
            </w:r>
            <w:r>
              <w:rPr>
                <w:position w:val="8"/>
                <w:sz w:val="19"/>
              </w:rPr>
              <w:t xml:space="preserve">-24 </w:t>
            </w:r>
            <w:r>
              <w:rPr/>
              <w:t xml:space="preserve">cm </w:t>
            </w:r>
            <w:r>
              <w:rPr>
                <w:position w:val="8"/>
                <w:sz w:val="19"/>
              </w:rPr>
              <w:t xml:space="preserve">3 </w:t>
            </w:r>
          </w:p>
        </w:tc>
      </w:tr>
      <w:tr>
        <w:trPr/>
        <w:tc>
          <w:tcPr>
            <w:tcW w:w="1913" w:type="dxa"/>
            <w:tcBorders/>
            <w:vAlign w:val="center"/>
          </w:tcPr>
          <w:p>
            <w:pPr>
              <w:pStyle w:val="TableContents"/>
              <w:bidi w:val="0"/>
              <w:spacing w:before="0" w:after="283"/>
              <w:jc w:val="start"/>
              <w:rPr/>
            </w:pPr>
            <w:r>
              <w:rPr/>
              <w:t xml:space="preserve">Surface Tension </w:t>
            </w:r>
          </w:p>
        </w:tc>
        <w:tc>
          <w:tcPr>
            <w:tcW w:w="2806" w:type="dxa"/>
            <w:tcBorders/>
            <w:vAlign w:val="center"/>
          </w:tcPr>
          <w:p>
            <w:pPr>
              <w:pStyle w:val="TableContents"/>
              <w:bidi w:val="0"/>
              <w:spacing w:before="0" w:after="283"/>
              <w:jc w:val="start"/>
              <w:rPr/>
            </w:pPr>
            <w:r>
              <w:rPr/>
              <w:t xml:space="preserve">60. 5±7. 0 dyne/cm </w:t>
            </w:r>
          </w:p>
        </w:tc>
      </w:tr>
      <w:tr>
        <w:trPr/>
        <w:tc>
          <w:tcPr>
            <w:tcW w:w="1913" w:type="dxa"/>
            <w:tcBorders/>
            <w:vAlign w:val="center"/>
          </w:tcPr>
          <w:p>
            <w:pPr>
              <w:pStyle w:val="TableContents"/>
              <w:bidi w:val="0"/>
              <w:spacing w:before="0" w:after="283"/>
              <w:jc w:val="start"/>
              <w:rPr/>
            </w:pPr>
            <w:r>
              <w:rPr/>
              <w:t xml:space="preserve">Molar Volume </w:t>
            </w:r>
          </w:p>
        </w:tc>
        <w:tc>
          <w:tcPr>
            <w:tcW w:w="2806" w:type="dxa"/>
            <w:tcBorders/>
            <w:vAlign w:val="center"/>
          </w:tcPr>
          <w:p>
            <w:pPr>
              <w:pStyle w:val="TableContents"/>
              <w:bidi w:val="0"/>
              <w:spacing w:before="0" w:after="283"/>
              <w:jc w:val="start"/>
              <w:rPr/>
            </w:pPr>
            <w:r>
              <w:rPr/>
              <w:t xml:space="preserve">117. 9±7. 0 cm </w:t>
            </w:r>
            <w:r>
              <w:rPr>
                <w:position w:val="8"/>
                <w:sz w:val="19"/>
              </w:rPr>
              <w:t xml:space="preserve">3 </w:t>
            </w:r>
          </w:p>
        </w:tc>
      </w:tr>
    </w:tbl>
    <w:p>
      <w:pPr>
        <w:pStyle w:val="TextBody"/>
        <w:numPr>
          <w:ilvl w:val="0"/>
          <w:numId w:val="2"/>
        </w:numPr>
        <w:tabs>
          <w:tab w:val="clear" w:pos="1134"/>
          <w:tab w:val="left" w:pos="709" w:leader="none"/>
        </w:tabs>
        <w:bidi w:val="0"/>
        <w:spacing w:before="0" w:after="0"/>
        <w:ind w:start="709" w:hanging="283"/>
        <w:jc w:val="start"/>
        <w:rPr/>
      </w:pPr>
      <w:r>
        <w:rPr/>
        <w:t xml:space="preserve">Experimental data </w:t>
      </w:r>
    </w:p>
    <w:p>
      <w:pPr>
        <w:pStyle w:val="TextBody"/>
        <w:numPr>
          <w:ilvl w:val="0"/>
          <w:numId w:val="2"/>
        </w:numPr>
        <w:tabs>
          <w:tab w:val="clear" w:pos="1134"/>
          <w:tab w:val="left" w:pos="709" w:leader="none"/>
        </w:tabs>
        <w:bidi w:val="0"/>
        <w:spacing w:before="0" w:after="0"/>
        <w:ind w:start="709" w:hanging="283"/>
        <w:jc w:val="start"/>
        <w:rPr/>
      </w:pPr>
      <w:r>
        <w:rPr/>
        <w:t xml:space="preserve">Predicted – ACD/Labs </w:t>
      </w:r>
    </w:p>
    <w:p>
      <w:pPr>
        <w:pStyle w:val="TextBody"/>
        <w:numPr>
          <w:ilvl w:val="0"/>
          <w:numId w:val="2"/>
        </w:numPr>
        <w:tabs>
          <w:tab w:val="clear" w:pos="1134"/>
          <w:tab w:val="left" w:pos="709" w:leader="none"/>
        </w:tabs>
        <w:bidi w:val="0"/>
        <w:spacing w:before="0" w:after="0"/>
        <w:ind w:start="709" w:hanging="283"/>
        <w:jc w:val="start"/>
        <w:rPr/>
      </w:pPr>
      <w:r>
        <w:rPr/>
        <w:t xml:space="preserve">Predicted – EPISuite </w:t>
      </w:r>
    </w:p>
    <w:p>
      <w:pPr>
        <w:pStyle w:val="TextBody"/>
        <w:numPr>
          <w:ilvl w:val="0"/>
          <w:numId w:val="2"/>
        </w:numPr>
        <w:tabs>
          <w:tab w:val="clear" w:pos="1134"/>
          <w:tab w:val="left" w:pos="709" w:leader="none"/>
        </w:tabs>
        <w:bidi w:val="0"/>
        <w:spacing w:before="0" w:after="0"/>
        <w:ind w:start="709" w:hanging="283"/>
        <w:jc w:val="start"/>
        <w:rPr/>
      </w:pPr>
      <w:r>
        <w:rPr/>
        <w:t xml:space="preserve">Predicted – ChemAxon </w:t>
      </w:r>
    </w:p>
    <w:p>
      <w:pPr>
        <w:pStyle w:val="TextBody"/>
        <w:numPr>
          <w:ilvl w:val="0"/>
          <w:numId w:val="2"/>
        </w:numPr>
        <w:tabs>
          <w:tab w:val="clear" w:pos="1134"/>
          <w:tab w:val="left" w:pos="709" w:leader="none"/>
        </w:tabs>
        <w:bidi w:val="0"/>
        <w:ind w:start="709" w:hanging="283"/>
        <w:jc w:val="start"/>
        <w:rPr/>
      </w:pPr>
      <w:r>
        <w:rPr/>
        <w:t xml:space="preserve">Predicted – Mcule </w:t>
      </w:r>
    </w:p>
    <w:p>
      <w:pPr>
        <w:pStyle w:val="TextBody"/>
        <w:numPr>
          <w:ilvl w:val="0"/>
          <w:numId w:val="3"/>
        </w:numPr>
        <w:tabs>
          <w:tab w:val="clear" w:pos="1134"/>
          <w:tab w:val="left" w:pos="709" w:leader="none"/>
        </w:tabs>
        <w:bidi w:val="0"/>
        <w:spacing w:before="0" w:after="0"/>
        <w:ind w:start="709" w:hanging="283"/>
        <w:jc w:val="start"/>
        <w:rPr/>
      </w:pPr>
      <w:r>
        <w:rPr/>
        <w:t xml:space="preserve">Experimental Physico-chemical Properties </w:t>
      </w:r>
    </w:p>
    <w:p>
      <w:pPr>
        <w:pStyle w:val="Heading2"/>
        <w:numPr>
          <w:ilvl w:val="1"/>
          <w:numId w:val="3"/>
        </w:numPr>
        <w:tabs>
          <w:tab w:val="clear" w:pos="1134"/>
          <w:tab w:val="left" w:pos="1418" w:leader="none"/>
        </w:tabs>
        <w:bidi w:val="0"/>
        <w:ind w:start="1418" w:hanging="283"/>
        <w:jc w:val="start"/>
        <w:rPr/>
      </w:pPr>
      <w:r>
        <w:rPr/>
        <w:t xml:space="preserve">Experimental Melting Point: </w:t>
      </w:r>
    </w:p>
    <w:tbl>
      <w:tblPr>
        <w:tblW w:w="3301" w:type="dxa"/>
        <w:jc w:val="start"/>
        <w:tblInd w:w="1418" w:type="dxa"/>
        <w:tblLayout w:type="fixed"/>
        <w:tblCellMar>
          <w:top w:w="28" w:type="dxa"/>
          <w:start w:w="28" w:type="dxa"/>
          <w:bottom w:w="28" w:type="dxa"/>
          <w:end w:w="28" w:type="dxa"/>
        </w:tblCellMar>
      </w:tblPr>
      <w:tblGrid>
        <w:gridCol w:w="3301"/>
      </w:tblGrid>
      <w:tr>
        <w:trPr/>
        <w:tc>
          <w:tcPr>
            <w:tcW w:w="3301" w:type="dxa"/>
            <w:tcBorders/>
            <w:vAlign w:val="center"/>
          </w:tcPr>
          <w:p>
            <w:pPr>
              <w:pStyle w:val="TableContents"/>
              <w:bidi w:val="0"/>
              <w:spacing w:before="0" w:after="283"/>
              <w:jc w:val="start"/>
              <w:rPr/>
            </w:pPr>
            <w:r>
              <w:rPr/>
              <w:t xml:space="preserve">161 °CTCIM0924 </w:t>
            </w:r>
          </w:p>
        </w:tc>
      </w:tr>
      <w:tr>
        <w:trPr/>
        <w:tc>
          <w:tcPr>
            <w:tcW w:w="3301" w:type="dxa"/>
            <w:tcBorders/>
            <w:vAlign w:val="center"/>
          </w:tcPr>
          <w:p>
            <w:pPr>
              <w:pStyle w:val="TableContents"/>
              <w:bidi w:val="0"/>
              <w:spacing w:before="0" w:after="283"/>
              <w:jc w:val="start"/>
              <w:rPr/>
            </w:pPr>
            <w:r>
              <w:rPr/>
              <w:t xml:space="preserve">158-162 °COxford University Chemical Safety Data (No longer updated)More details </w:t>
            </w:r>
          </w:p>
        </w:tc>
      </w:tr>
      <w:tr>
        <w:trPr/>
        <w:tc>
          <w:tcPr>
            <w:tcW w:w="3301" w:type="dxa"/>
            <w:tcBorders/>
            <w:vAlign w:val="center"/>
          </w:tcPr>
          <w:p>
            <w:pPr>
              <w:pStyle w:val="TableContents"/>
              <w:bidi w:val="0"/>
              <w:spacing w:before="0" w:after="283"/>
              <w:jc w:val="start"/>
              <w:rPr/>
            </w:pPr>
            <w:r>
              <w:rPr/>
              <w:t xml:space="preserve">159-163 °CLKT Labs[M1977] </w:t>
            </w:r>
          </w:p>
        </w:tc>
      </w:tr>
      <w:tr>
        <w:trPr/>
        <w:tc>
          <w:tcPr>
            <w:tcW w:w="3301" w:type="dxa"/>
            <w:tcBorders/>
            <w:vAlign w:val="center"/>
          </w:tcPr>
          <w:p>
            <w:pPr>
              <w:pStyle w:val="TableContents"/>
              <w:bidi w:val="0"/>
              <w:spacing w:before="0" w:after="283"/>
              <w:jc w:val="start"/>
              <w:rPr/>
            </w:pPr>
            <w:r>
              <w:rPr/>
              <w:t xml:space="preserve">159 °CJean-Claude Bradley Open Melting Point Dataset17317 </w:t>
            </w:r>
          </w:p>
        </w:tc>
      </w:tr>
      <w:tr>
        <w:trPr/>
        <w:tc>
          <w:tcPr>
            <w:tcW w:w="3301" w:type="dxa"/>
            <w:tcBorders/>
            <w:vAlign w:val="center"/>
          </w:tcPr>
          <w:p>
            <w:pPr>
              <w:pStyle w:val="TableContents"/>
              <w:bidi w:val="0"/>
              <w:spacing w:before="0" w:after="283"/>
              <w:jc w:val="start"/>
              <w:rPr/>
            </w:pPr>
            <w:r>
              <w:rPr/>
              <w:t xml:space="preserve">160 °CJean-Claude Bradley Open Melting Point Dataset15095, 16645, 28269 </w:t>
            </w:r>
          </w:p>
        </w:tc>
      </w:tr>
      <w:tr>
        <w:trPr/>
        <w:tc>
          <w:tcPr>
            <w:tcW w:w="3301" w:type="dxa"/>
            <w:tcBorders/>
            <w:vAlign w:val="center"/>
          </w:tcPr>
          <w:p>
            <w:pPr>
              <w:pStyle w:val="TableContents"/>
              <w:bidi w:val="0"/>
              <w:spacing w:before="0" w:after="283"/>
              <w:jc w:val="start"/>
              <w:rPr/>
            </w:pPr>
            <w:r>
              <w:rPr/>
              <w:t xml:space="preserve">159-161 °CAlfa AesarH60258 </w:t>
            </w:r>
          </w:p>
        </w:tc>
      </w:tr>
      <w:tr>
        <w:trPr/>
        <w:tc>
          <w:tcPr>
            <w:tcW w:w="3301" w:type="dxa"/>
            <w:tcBorders/>
            <w:vAlign w:val="center"/>
          </w:tcPr>
          <w:p>
            <w:pPr>
              <w:pStyle w:val="TableContents"/>
              <w:bidi w:val="0"/>
              <w:spacing w:before="0" w:after="283"/>
              <w:jc w:val="start"/>
              <w:rPr/>
            </w:pPr>
            <w:r>
              <w:rPr/>
              <w:t xml:space="preserve">159-161 °CSynQuest4H54-1-9A </w:t>
            </w:r>
          </w:p>
        </w:tc>
      </w:tr>
      <w:tr>
        <w:trPr/>
        <w:tc>
          <w:tcPr>
            <w:tcW w:w="3301" w:type="dxa"/>
            <w:tcBorders/>
            <w:vAlign w:val="center"/>
          </w:tcPr>
          <w:p>
            <w:pPr>
              <w:pStyle w:val="TableContents"/>
              <w:bidi w:val="0"/>
              <w:spacing w:before="0" w:after="283"/>
              <w:jc w:val="start"/>
              <w:rPr/>
            </w:pPr>
            <w:r>
              <w:rPr/>
              <w:t xml:space="preserve">160 °CBiosynthQ-201403 </w:t>
            </w:r>
          </w:p>
        </w:tc>
      </w:tr>
      <w:tr>
        <w:trPr/>
        <w:tc>
          <w:tcPr>
            <w:tcW w:w="3301" w:type="dxa"/>
            <w:tcBorders/>
            <w:vAlign w:val="center"/>
          </w:tcPr>
          <w:p>
            <w:pPr>
              <w:pStyle w:val="TableContents"/>
              <w:bidi w:val="0"/>
              <w:spacing w:before="0" w:after="283"/>
              <w:jc w:val="start"/>
              <w:rPr/>
            </w:pPr>
            <w:r>
              <w:rPr/>
              <w:t xml:space="preserve">159-161 °CLabNetworkLN00196219 </w:t>
            </w:r>
          </w:p>
        </w:tc>
      </w:tr>
    </w:tbl>
    <w:p>
      <w:pPr>
        <w:pStyle w:val="Heading2"/>
        <w:numPr>
          <w:ilvl w:val="1"/>
          <w:numId w:val="3"/>
        </w:numPr>
        <w:tabs>
          <w:tab w:val="clear" w:pos="1134"/>
          <w:tab w:val="left" w:pos="1418" w:leader="none"/>
        </w:tabs>
        <w:bidi w:val="0"/>
        <w:ind w:start="1418" w:hanging="283"/>
        <w:jc w:val="start"/>
        <w:rPr/>
      </w:pPr>
      <w:r>
        <w:rPr/>
        <w:t xml:space="preserve">Experimental LogP: </w:t>
      </w:r>
    </w:p>
    <w:tbl>
      <w:tblPr>
        <w:tblW w:w="4171" w:type="dxa"/>
        <w:jc w:val="start"/>
        <w:tblInd w:w="1418" w:type="dxa"/>
        <w:tblLayout w:type="fixed"/>
        <w:tblCellMar>
          <w:top w:w="28" w:type="dxa"/>
          <w:start w:w="28" w:type="dxa"/>
          <w:bottom w:w="28" w:type="dxa"/>
          <w:end w:w="28" w:type="dxa"/>
        </w:tblCellMar>
      </w:tblPr>
      <w:tblGrid>
        <w:gridCol w:w="4171"/>
      </w:tblGrid>
      <w:tr>
        <w:trPr/>
        <w:tc>
          <w:tcPr>
            <w:tcW w:w="4171" w:type="dxa"/>
            <w:tcBorders/>
            <w:vAlign w:val="center"/>
          </w:tcPr>
          <w:p>
            <w:pPr>
              <w:pStyle w:val="TableContents"/>
              <w:bidi w:val="0"/>
              <w:spacing w:before="0" w:after="283"/>
              <w:jc w:val="start"/>
              <w:rPr/>
            </w:pPr>
            <w:r>
              <w:rPr/>
              <w:t xml:space="preserve">-0. 013Vitas-MSTK177359, STK177359 </w:t>
            </w:r>
          </w:p>
        </w:tc>
      </w:tr>
    </w:tbl>
    <w:p>
      <w:pPr>
        <w:pStyle w:val="Heading2"/>
        <w:numPr>
          <w:ilvl w:val="1"/>
          <w:numId w:val="3"/>
        </w:numPr>
        <w:tabs>
          <w:tab w:val="clear" w:pos="1134"/>
          <w:tab w:val="left" w:pos="1418" w:leader="none"/>
        </w:tabs>
        <w:bidi w:val="0"/>
        <w:ind w:start="1418" w:hanging="283"/>
        <w:jc w:val="start"/>
        <w:rPr/>
      </w:pPr>
      <w:r>
        <w:rPr/>
        <w:t xml:space="preserve">Experimental Flash Point: </w:t>
      </w:r>
    </w:p>
    <w:tbl>
      <w:tblPr>
        <w:tblW w:w="2731" w:type="dxa"/>
        <w:jc w:val="start"/>
        <w:tblInd w:w="1418" w:type="dxa"/>
        <w:tblLayout w:type="fixed"/>
        <w:tblCellMar>
          <w:top w:w="28" w:type="dxa"/>
          <w:start w:w="28" w:type="dxa"/>
          <w:bottom w:w="28" w:type="dxa"/>
          <w:end w:w="28" w:type="dxa"/>
        </w:tblCellMar>
      </w:tblPr>
      <w:tblGrid>
        <w:gridCol w:w="2731"/>
      </w:tblGrid>
      <w:tr>
        <w:trPr/>
        <w:tc>
          <w:tcPr>
            <w:tcW w:w="2731" w:type="dxa"/>
            <w:tcBorders/>
            <w:vAlign w:val="center"/>
          </w:tcPr>
          <w:p>
            <w:pPr>
              <w:pStyle w:val="TableContents"/>
              <w:bidi w:val="0"/>
              <w:spacing w:before="0" w:after="283"/>
              <w:jc w:val="start"/>
              <w:rPr/>
            </w:pPr>
            <w:r>
              <w:rPr/>
              <w:t xml:space="preserve">199 °CBiosynthQ-201403 </w:t>
            </w:r>
          </w:p>
        </w:tc>
      </w:tr>
    </w:tbl>
    <w:p>
      <w:pPr>
        <w:pStyle w:val="Heading2"/>
        <w:numPr>
          <w:ilvl w:val="1"/>
          <w:numId w:val="3"/>
        </w:numPr>
        <w:tabs>
          <w:tab w:val="clear" w:pos="1134"/>
          <w:tab w:val="left" w:pos="1418" w:leader="none"/>
        </w:tabs>
        <w:bidi w:val="0"/>
        <w:ind w:start="1418" w:hanging="283"/>
        <w:jc w:val="start"/>
        <w:rPr/>
      </w:pPr>
      <w:r>
        <w:rPr/>
        <w:t xml:space="preserve">Experimental Gravity: </w:t>
      </w:r>
    </w:p>
    <w:tbl>
      <w:tblPr>
        <w:tblW w:w="2986" w:type="dxa"/>
        <w:jc w:val="start"/>
        <w:tblInd w:w="1418" w:type="dxa"/>
        <w:tblLayout w:type="fixed"/>
        <w:tblCellMar>
          <w:top w:w="28" w:type="dxa"/>
          <w:start w:w="28" w:type="dxa"/>
          <w:bottom w:w="28" w:type="dxa"/>
          <w:end w:w="28" w:type="dxa"/>
        </w:tblCellMar>
      </w:tblPr>
      <w:tblGrid>
        <w:gridCol w:w="2986"/>
      </w:tblGrid>
      <w:tr>
        <w:trPr/>
        <w:tc>
          <w:tcPr>
            <w:tcW w:w="2986" w:type="dxa"/>
            <w:tcBorders/>
            <w:vAlign w:val="center"/>
          </w:tcPr>
          <w:p>
            <w:pPr>
              <w:pStyle w:val="TableContents"/>
              <w:bidi w:val="0"/>
              <w:spacing w:before="0" w:after="283"/>
              <w:jc w:val="start"/>
              <w:rPr/>
            </w:pPr>
            <w:r>
              <w:rPr/>
              <w:t xml:space="preserve">199 g/mLBiosynthQ-201403 </w:t>
            </w:r>
          </w:p>
        </w:tc>
      </w:tr>
    </w:tbl>
    <w:p>
      <w:pPr>
        <w:pStyle w:val="Heading2"/>
        <w:numPr>
          <w:ilvl w:val="1"/>
          <w:numId w:val="3"/>
        </w:numPr>
        <w:tabs>
          <w:tab w:val="clear" w:pos="1134"/>
          <w:tab w:val="left" w:pos="1418" w:leader="none"/>
        </w:tabs>
        <w:bidi w:val="0"/>
        <w:ind w:start="1418" w:hanging="283"/>
        <w:jc w:val="start"/>
        <w:rPr/>
      </w:pPr>
      <w:r>
        <w:rPr/>
        <w:t xml:space="preserve">Experimental Solubility: </w:t>
      </w:r>
    </w:p>
    <w:tbl>
      <w:tblPr>
        <w:tblW w:w="3301" w:type="dxa"/>
        <w:jc w:val="start"/>
        <w:tblInd w:w="1418" w:type="dxa"/>
        <w:tblLayout w:type="fixed"/>
        <w:tblCellMar>
          <w:top w:w="28" w:type="dxa"/>
          <w:start w:w="28" w:type="dxa"/>
          <w:bottom w:w="28" w:type="dxa"/>
          <w:end w:w="28" w:type="dxa"/>
        </w:tblCellMar>
      </w:tblPr>
      <w:tblGrid>
        <w:gridCol w:w="3301"/>
      </w:tblGrid>
      <w:tr>
        <w:trPr/>
        <w:tc>
          <w:tcPr>
            <w:tcW w:w="3301" w:type="dxa"/>
            <w:tcBorders/>
            <w:vAlign w:val="center"/>
          </w:tcPr>
          <w:p>
            <w:pPr>
              <w:pStyle w:val="TableContents"/>
              <w:bidi w:val="0"/>
              <w:spacing w:before="0" w:after="283"/>
              <w:jc w:val="start"/>
              <w:rPr/>
            </w:pPr>
            <w:r>
              <w:rPr/>
              <w:t xml:space="preserve">10 mM in H2OMedChem ExpressHY-B0318 </w:t>
            </w:r>
          </w:p>
        </w:tc>
      </w:tr>
      <w:tr>
        <w:trPr/>
        <w:tc>
          <w:tcPr>
            <w:tcW w:w="3301" w:type="dxa"/>
            <w:tcBorders/>
            <w:vAlign w:val="center"/>
          </w:tcPr>
          <w:p>
            <w:pPr>
              <w:pStyle w:val="TableContents"/>
              <w:bidi w:val="0"/>
              <w:spacing w:before="0" w:after="283"/>
              <w:jc w:val="start"/>
              <w:rPr/>
            </w:pPr>
            <w:r>
              <w:rPr/>
              <w:t xml:space="preserve">DMSO 35 mg/mL; Water &lt;1 mg/mLMedChem ExpressHY-B0318 </w:t>
            </w:r>
          </w:p>
        </w:tc>
      </w:tr>
      <w:tr>
        <w:trPr/>
        <w:tc>
          <w:tcPr>
            <w:tcW w:w="3301" w:type="dxa"/>
            <w:tcBorders/>
            <w:vAlign w:val="center"/>
          </w:tcPr>
          <w:p>
            <w:pPr>
              <w:pStyle w:val="TableContents"/>
              <w:bidi w:val="0"/>
              <w:spacing w:before="0" w:after="283"/>
              <w:jc w:val="start"/>
              <w:rPr/>
            </w:pPr>
            <w:r>
              <w:rPr/>
              <w:t xml:space="preserve">Soluble in water, dilute acids and ethanol. Slightly soluble in DMF. DMSO 34 mg/mL. LKT Labs[M1977] </w:t>
            </w:r>
          </w:p>
        </w:tc>
      </w:tr>
    </w:tbl>
    <w:p>
      <w:pPr>
        <w:pStyle w:val="TextBody"/>
        <w:numPr>
          <w:ilvl w:val="0"/>
          <w:numId w:val="3"/>
        </w:numPr>
        <w:tabs>
          <w:tab w:val="clear" w:pos="1134"/>
          <w:tab w:val="left" w:pos="709" w:leader="none"/>
        </w:tabs>
        <w:bidi w:val="0"/>
        <w:spacing w:before="0" w:after="0"/>
        <w:ind w:start="709" w:hanging="283"/>
        <w:jc w:val="start"/>
        <w:rPr/>
      </w:pPr>
      <w:r>
        <w:rPr/>
        <w:t xml:space="preserve">Predicted Physico-chemical Properties </w:t>
      </w:r>
    </w:p>
    <w:p>
      <w:pPr>
        <w:pStyle w:val="Heading2"/>
        <w:numPr>
          <w:ilvl w:val="1"/>
          <w:numId w:val="3"/>
        </w:numPr>
        <w:tabs>
          <w:tab w:val="clear" w:pos="1134"/>
          <w:tab w:val="left" w:pos="1418" w:leader="none"/>
        </w:tabs>
        <w:bidi w:val="0"/>
        <w:ind w:start="1418" w:hanging="283"/>
        <w:jc w:val="start"/>
        <w:rPr/>
      </w:pPr>
      <w:r>
        <w:rPr/>
        <w:t xml:space="preserve">Predicted Melting Point: </w:t>
      </w:r>
    </w:p>
    <w:tbl>
      <w:tblPr>
        <w:tblW w:w="1981" w:type="dxa"/>
        <w:jc w:val="start"/>
        <w:tblInd w:w="1418" w:type="dxa"/>
        <w:tblLayout w:type="fixed"/>
        <w:tblCellMar>
          <w:top w:w="28" w:type="dxa"/>
          <w:start w:w="28" w:type="dxa"/>
          <w:bottom w:w="28" w:type="dxa"/>
          <w:end w:w="28" w:type="dxa"/>
        </w:tblCellMar>
      </w:tblPr>
      <w:tblGrid>
        <w:gridCol w:w="1981"/>
      </w:tblGrid>
      <w:tr>
        <w:trPr/>
        <w:tc>
          <w:tcPr>
            <w:tcW w:w="1981" w:type="dxa"/>
            <w:tcBorders/>
            <w:vAlign w:val="center"/>
          </w:tcPr>
          <w:p>
            <w:pPr>
              <w:pStyle w:val="TableContents"/>
              <w:bidi w:val="0"/>
              <w:spacing w:before="0" w:after="283"/>
              <w:jc w:val="start"/>
              <w:rPr/>
            </w:pPr>
            <w:r>
              <w:rPr/>
              <w:t xml:space="preserve">161 °CTCI </w:t>
            </w:r>
          </w:p>
        </w:tc>
      </w:tr>
      <w:tr>
        <w:trPr/>
        <w:tc>
          <w:tcPr>
            <w:tcW w:w="1981" w:type="dxa"/>
            <w:tcBorders/>
            <w:vAlign w:val="center"/>
          </w:tcPr>
          <w:p>
            <w:pPr>
              <w:pStyle w:val="TableContents"/>
              <w:bidi w:val="0"/>
              <w:spacing w:before="0" w:after="283"/>
              <w:jc w:val="start"/>
              <w:rPr/>
            </w:pPr>
            <w:r>
              <w:rPr/>
              <w:t xml:space="preserve">161 °CTCIM0924 </w:t>
            </w:r>
          </w:p>
        </w:tc>
      </w:tr>
    </w:tbl>
    <w:p>
      <w:pPr>
        <w:pStyle w:val="TextBody"/>
        <w:numPr>
          <w:ilvl w:val="0"/>
          <w:numId w:val="3"/>
        </w:numPr>
        <w:tabs>
          <w:tab w:val="clear" w:pos="1134"/>
          <w:tab w:val="left" w:pos="709" w:leader="none"/>
        </w:tabs>
        <w:bidi w:val="0"/>
        <w:spacing w:before="0" w:after="0"/>
        <w:ind w:start="709" w:hanging="283"/>
        <w:jc w:val="start"/>
        <w:rPr/>
      </w:pPr>
      <w:r>
        <w:rPr/>
        <w:t xml:space="preserve">Miscellaneous </w:t>
      </w:r>
    </w:p>
    <w:p>
      <w:pPr>
        <w:pStyle w:val="Heading2"/>
        <w:numPr>
          <w:ilvl w:val="1"/>
          <w:numId w:val="3"/>
        </w:numPr>
        <w:tabs>
          <w:tab w:val="clear" w:pos="1134"/>
          <w:tab w:val="left" w:pos="1418" w:leader="none"/>
        </w:tabs>
        <w:bidi w:val="0"/>
        <w:ind w:start="1418" w:hanging="283"/>
        <w:jc w:val="start"/>
        <w:rPr/>
      </w:pPr>
      <w:r>
        <w:rPr/>
        <w:t xml:space="preserve">Appearance: </w:t>
      </w:r>
    </w:p>
    <w:tbl>
      <w:tblPr>
        <w:tblW w:w="3301" w:type="dxa"/>
        <w:jc w:val="start"/>
        <w:tblInd w:w="1418" w:type="dxa"/>
        <w:tblLayout w:type="fixed"/>
        <w:tblCellMar>
          <w:top w:w="28" w:type="dxa"/>
          <w:start w:w="28" w:type="dxa"/>
          <w:bottom w:w="28" w:type="dxa"/>
          <w:end w:w="28" w:type="dxa"/>
        </w:tblCellMar>
      </w:tblPr>
      <w:tblGrid>
        <w:gridCol w:w="3301"/>
      </w:tblGrid>
      <w:tr>
        <w:trPr/>
        <w:tc>
          <w:tcPr>
            <w:tcW w:w="3301" w:type="dxa"/>
            <w:tcBorders/>
            <w:vAlign w:val="center"/>
          </w:tcPr>
          <w:p>
            <w:pPr>
              <w:pStyle w:val="TableContents"/>
              <w:bidi w:val="0"/>
              <w:spacing w:before="0" w:after="283"/>
              <w:jc w:val="start"/>
              <w:rPr/>
            </w:pPr>
            <w:r>
              <w:rPr/>
              <w:t xml:space="preserve">white to slightly yellow crystalline powderOxford University Chemical Safety Data (No longer updated)More details </w:t>
            </w:r>
          </w:p>
        </w:tc>
      </w:tr>
    </w:tbl>
    <w:p>
      <w:pPr>
        <w:pStyle w:val="Heading2"/>
        <w:numPr>
          <w:ilvl w:val="1"/>
          <w:numId w:val="3"/>
        </w:numPr>
        <w:tabs>
          <w:tab w:val="clear" w:pos="1134"/>
          <w:tab w:val="left" w:pos="1418" w:leader="none"/>
        </w:tabs>
        <w:bidi w:val="0"/>
        <w:ind w:start="1418" w:hanging="283"/>
        <w:jc w:val="start"/>
        <w:rPr/>
      </w:pPr>
      <w:r>
        <w:rPr/>
        <w:t xml:space="preserve">Stability: </w:t>
      </w:r>
    </w:p>
    <w:tbl>
      <w:tblPr>
        <w:tblW w:w="3301" w:type="dxa"/>
        <w:jc w:val="start"/>
        <w:tblInd w:w="1418" w:type="dxa"/>
        <w:tblLayout w:type="fixed"/>
        <w:tblCellMar>
          <w:top w:w="28" w:type="dxa"/>
          <w:start w:w="28" w:type="dxa"/>
          <w:bottom w:w="28" w:type="dxa"/>
          <w:end w:w="28" w:type="dxa"/>
        </w:tblCellMar>
      </w:tblPr>
      <w:tblGrid>
        <w:gridCol w:w="3301"/>
      </w:tblGrid>
      <w:tr>
        <w:trPr/>
        <w:tc>
          <w:tcPr>
            <w:tcW w:w="3301" w:type="dxa"/>
            <w:tcBorders/>
            <w:vAlign w:val="center"/>
          </w:tcPr>
          <w:p>
            <w:pPr>
              <w:pStyle w:val="TableContents"/>
              <w:bidi w:val="0"/>
              <w:spacing w:before="0" w:after="283"/>
              <w:jc w:val="start"/>
              <w:rPr/>
            </w:pPr>
            <w:r>
              <w:rPr/>
              <w:t xml:space="preserve">Stable. Incompatible with strong oxidizing agents. Oxford University Chemical Safety Data (No longer updated)More details </w:t>
            </w:r>
          </w:p>
        </w:tc>
      </w:tr>
    </w:tbl>
    <w:p>
      <w:pPr>
        <w:pStyle w:val="Heading2"/>
        <w:numPr>
          <w:ilvl w:val="1"/>
          <w:numId w:val="3"/>
        </w:numPr>
        <w:tabs>
          <w:tab w:val="clear" w:pos="1134"/>
          <w:tab w:val="left" w:pos="1418" w:leader="none"/>
        </w:tabs>
        <w:bidi w:val="0"/>
        <w:ind w:start="1418" w:hanging="283"/>
        <w:jc w:val="start"/>
        <w:rPr/>
      </w:pPr>
      <w:r>
        <w:rPr/>
        <w:t xml:space="preserve">Toxicity: </w:t>
      </w:r>
    </w:p>
    <w:tbl>
      <w:tblPr>
        <w:tblW w:w="3301" w:type="dxa"/>
        <w:jc w:val="start"/>
        <w:tblInd w:w="1418" w:type="dxa"/>
        <w:tblLayout w:type="fixed"/>
        <w:tblCellMar>
          <w:top w:w="28" w:type="dxa"/>
          <w:start w:w="28" w:type="dxa"/>
          <w:bottom w:w="28" w:type="dxa"/>
          <w:end w:w="28" w:type="dxa"/>
        </w:tblCellMar>
      </w:tblPr>
      <w:tblGrid>
        <w:gridCol w:w="3301"/>
      </w:tblGrid>
      <w:tr>
        <w:trPr/>
        <w:tc>
          <w:tcPr>
            <w:tcW w:w="3301" w:type="dxa"/>
            <w:tcBorders/>
            <w:vAlign w:val="center"/>
          </w:tcPr>
          <w:p>
            <w:pPr>
              <w:pStyle w:val="TableContents"/>
              <w:bidi w:val="0"/>
              <w:spacing w:before="0" w:after="283"/>
              <w:jc w:val="start"/>
              <w:rPr/>
            </w:pPr>
            <w:r>
              <w:rPr/>
              <w:t xml:space="preserve">ORL-RAT LD50 3000 mg kg-1, ORL-MUS LD50 3800 mg kg-1, SCU-MUS LD50 3640 mg kg-1Oxford University Chemical Safety Data (No longer updated)More details </w:t>
            </w:r>
          </w:p>
        </w:tc>
      </w:tr>
    </w:tbl>
    <w:p>
      <w:pPr>
        <w:pStyle w:val="Heading2"/>
        <w:numPr>
          <w:ilvl w:val="1"/>
          <w:numId w:val="3"/>
        </w:numPr>
        <w:tabs>
          <w:tab w:val="clear" w:pos="1134"/>
          <w:tab w:val="left" w:pos="1418" w:leader="none"/>
        </w:tabs>
        <w:bidi w:val="0"/>
        <w:ind w:start="1418" w:hanging="283"/>
        <w:jc w:val="start"/>
        <w:rPr/>
      </w:pPr>
      <w:r>
        <w:rPr/>
        <w:t xml:space="preserve">Safety: </w:t>
      </w:r>
    </w:p>
    <w:tbl>
      <w:tblPr>
        <w:tblW w:w="3301" w:type="dxa"/>
        <w:jc w:val="start"/>
        <w:tblInd w:w="1418" w:type="dxa"/>
        <w:tblLayout w:type="fixed"/>
        <w:tblCellMar>
          <w:top w:w="28" w:type="dxa"/>
          <w:start w:w="28" w:type="dxa"/>
          <w:bottom w:w="28" w:type="dxa"/>
          <w:end w:w="28" w:type="dxa"/>
        </w:tblCellMar>
      </w:tblPr>
      <w:tblGrid>
        <w:gridCol w:w="3301"/>
      </w:tblGrid>
      <w:tr>
        <w:trPr/>
        <w:tc>
          <w:tcPr>
            <w:tcW w:w="3301" w:type="dxa"/>
            <w:tcBorders/>
            <w:vAlign w:val="center"/>
          </w:tcPr>
          <w:p>
            <w:pPr>
              <w:pStyle w:val="TableContents"/>
              <w:bidi w:val="0"/>
              <w:spacing w:before="0" w:after="283"/>
              <w:jc w:val="start"/>
              <w:rPr/>
            </w:pPr>
            <w:r>
              <w:rPr/>
              <w:t xml:space="preserve">36/37-60Alfa AesarH60258 </w:t>
            </w:r>
          </w:p>
        </w:tc>
      </w:tr>
      <w:tr>
        <w:trPr/>
        <w:tc>
          <w:tcPr>
            <w:tcW w:w="3301" w:type="dxa"/>
            <w:tcBorders/>
            <w:vAlign w:val="center"/>
          </w:tcPr>
          <w:p>
            <w:pPr>
              <w:pStyle w:val="TableContents"/>
              <w:bidi w:val="0"/>
              <w:spacing w:before="0" w:after="283"/>
              <w:jc w:val="start"/>
              <w:rPr/>
            </w:pPr>
            <w:r>
              <w:rPr/>
              <w:t xml:space="preserve">40Alfa AesarH60258 </w:t>
            </w:r>
          </w:p>
        </w:tc>
      </w:tr>
      <w:tr>
        <w:trPr/>
        <w:tc>
          <w:tcPr>
            <w:tcW w:w="3301" w:type="dxa"/>
            <w:tcBorders/>
            <w:vAlign w:val="center"/>
          </w:tcPr>
          <w:p>
            <w:pPr>
              <w:pStyle w:val="TableContents"/>
              <w:bidi w:val="0"/>
              <w:spacing w:before="0" w:after="283"/>
              <w:jc w:val="start"/>
              <w:rPr/>
            </w:pPr>
            <w:r>
              <w:rPr/>
              <w:t xml:space="preserve">Carcinogenic/MutagenicSynQuest4H54-1-9A </w:t>
            </w:r>
          </w:p>
        </w:tc>
      </w:tr>
      <w:tr>
        <w:trPr/>
        <w:tc>
          <w:tcPr>
            <w:tcW w:w="3301" w:type="dxa"/>
            <w:tcBorders/>
            <w:vAlign w:val="center"/>
          </w:tcPr>
          <w:p>
            <w:pPr>
              <w:pStyle w:val="TableContents"/>
              <w:bidi w:val="0"/>
              <w:spacing w:before="0" w:after="283"/>
              <w:jc w:val="start"/>
              <w:rPr/>
            </w:pPr>
            <w:r>
              <w:rPr/>
              <w:t xml:space="preserve">H351Alfa AesarH60258 </w:t>
            </w:r>
          </w:p>
        </w:tc>
      </w:tr>
      <w:tr>
        <w:trPr/>
        <w:tc>
          <w:tcPr>
            <w:tcW w:w="3301" w:type="dxa"/>
            <w:tcBorders/>
            <w:vAlign w:val="center"/>
          </w:tcPr>
          <w:p>
            <w:pPr>
              <w:pStyle w:val="TableContents"/>
              <w:bidi w:val="0"/>
              <w:spacing w:before="0" w:after="283"/>
              <w:jc w:val="start"/>
              <w:rPr/>
            </w:pPr>
            <w:r>
              <w:rPr/>
              <w:t xml:space="preserve">P261; P262BiosynthQ-201403 </w:t>
            </w:r>
          </w:p>
        </w:tc>
      </w:tr>
      <w:tr>
        <w:trPr/>
        <w:tc>
          <w:tcPr>
            <w:tcW w:w="3301" w:type="dxa"/>
            <w:tcBorders/>
            <w:vAlign w:val="center"/>
          </w:tcPr>
          <w:p>
            <w:pPr>
              <w:pStyle w:val="TableContents"/>
              <w:bidi w:val="0"/>
              <w:spacing w:before="0" w:after="283"/>
              <w:jc w:val="start"/>
              <w:rPr/>
            </w:pPr>
            <w:r>
              <w:rPr/>
              <w:t xml:space="preserve">P281-P201-P202-P308+P313-P405-P501aAlfa AesarH60258 </w:t>
            </w:r>
          </w:p>
        </w:tc>
      </w:tr>
      <w:tr>
        <w:trPr/>
        <w:tc>
          <w:tcPr>
            <w:tcW w:w="3301" w:type="dxa"/>
            <w:tcBorders/>
            <w:vAlign w:val="center"/>
          </w:tcPr>
          <w:p>
            <w:pPr>
              <w:pStyle w:val="TableContents"/>
              <w:bidi w:val="0"/>
              <w:spacing w:before="0" w:after="283"/>
              <w:jc w:val="start"/>
              <w:rPr/>
            </w:pPr>
            <w:r>
              <w:rPr/>
              <w:t xml:space="preserve">Safety glasses, adequate ventilation. Oxford University Chemical Safety Data (No longer updated)More details </w:t>
            </w:r>
          </w:p>
        </w:tc>
      </w:tr>
      <w:tr>
        <w:trPr/>
        <w:tc>
          <w:tcPr>
            <w:tcW w:w="3301" w:type="dxa"/>
            <w:tcBorders/>
            <w:vAlign w:val="center"/>
          </w:tcPr>
          <w:p>
            <w:pPr>
              <w:pStyle w:val="TableContents"/>
              <w:bidi w:val="0"/>
              <w:spacing w:before="0" w:after="283"/>
              <w:jc w:val="start"/>
              <w:rPr/>
            </w:pPr>
            <w:r>
              <w:rPr/>
              <w:t xml:space="preserve">WarningAlfa AesarH60258 </w:t>
            </w:r>
          </w:p>
        </w:tc>
      </w:tr>
    </w:tbl>
    <w:p>
      <w:pPr>
        <w:pStyle w:val="Heading2"/>
        <w:numPr>
          <w:ilvl w:val="1"/>
          <w:numId w:val="3"/>
        </w:numPr>
        <w:tabs>
          <w:tab w:val="clear" w:pos="1134"/>
          <w:tab w:val="left" w:pos="1418" w:leader="none"/>
        </w:tabs>
        <w:bidi w:val="0"/>
        <w:ind w:start="1418" w:hanging="283"/>
        <w:jc w:val="start"/>
        <w:rPr/>
      </w:pPr>
      <w:r>
        <w:rPr/>
        <w:t xml:space="preserve">Target Organs: </w:t>
      </w:r>
    </w:p>
    <w:tbl>
      <w:tblPr>
        <w:tblW w:w="3301" w:type="dxa"/>
        <w:jc w:val="start"/>
        <w:tblInd w:w="1418" w:type="dxa"/>
        <w:tblLayout w:type="fixed"/>
        <w:tblCellMar>
          <w:top w:w="28" w:type="dxa"/>
          <w:start w:w="28" w:type="dxa"/>
          <w:bottom w:w="28" w:type="dxa"/>
          <w:end w:w="28" w:type="dxa"/>
        </w:tblCellMar>
      </w:tblPr>
      <w:tblGrid>
        <w:gridCol w:w="3301"/>
      </w:tblGrid>
      <w:tr>
        <w:trPr/>
        <w:tc>
          <w:tcPr>
            <w:tcW w:w="3301" w:type="dxa"/>
            <w:tcBorders/>
            <w:vAlign w:val="center"/>
          </w:tcPr>
          <w:p>
            <w:pPr>
              <w:pStyle w:val="TableContents"/>
              <w:bidi w:val="0"/>
              <w:spacing w:before="0" w:after="283"/>
              <w:jc w:val="start"/>
              <w:rPr/>
            </w:pPr>
            <w:r>
              <w:rPr/>
              <w:t xml:space="preserve">Hydrogenase inhibitor; AntibioticTargetMolT1079 </w:t>
            </w:r>
          </w:p>
        </w:tc>
      </w:tr>
    </w:tbl>
    <w:p>
      <w:pPr>
        <w:pStyle w:val="Heading2"/>
        <w:numPr>
          <w:ilvl w:val="1"/>
          <w:numId w:val="3"/>
        </w:numPr>
        <w:tabs>
          <w:tab w:val="clear" w:pos="1134"/>
          <w:tab w:val="left" w:pos="1418" w:leader="none"/>
        </w:tabs>
        <w:bidi w:val="0"/>
        <w:ind w:start="1418" w:hanging="283"/>
        <w:jc w:val="start"/>
        <w:rPr/>
      </w:pPr>
      <w:r>
        <w:rPr/>
        <w:t xml:space="preserve">Drug Status: </w:t>
      </w:r>
    </w:p>
    <w:tbl>
      <w:tblPr>
        <w:tblW w:w="4276" w:type="dxa"/>
        <w:jc w:val="start"/>
        <w:tblInd w:w="1418" w:type="dxa"/>
        <w:tblLayout w:type="fixed"/>
        <w:tblCellMar>
          <w:top w:w="28" w:type="dxa"/>
          <w:start w:w="28" w:type="dxa"/>
          <w:bottom w:w="28" w:type="dxa"/>
          <w:end w:w="28" w:type="dxa"/>
        </w:tblCellMar>
      </w:tblPr>
      <w:tblGrid>
        <w:gridCol w:w="4276"/>
      </w:tblGrid>
      <w:tr>
        <w:trPr/>
        <w:tc>
          <w:tcPr>
            <w:tcW w:w="4276" w:type="dxa"/>
            <w:tcBorders/>
            <w:vAlign w:val="center"/>
          </w:tcPr>
          <w:p>
            <w:pPr>
              <w:pStyle w:val="TableContents"/>
              <w:bidi w:val="0"/>
              <w:spacing w:before="0" w:after="283"/>
              <w:jc w:val="start"/>
              <w:rPr/>
            </w:pPr>
            <w:r>
              <w:rPr/>
              <w:t xml:space="preserve">approvedBIONET-Key OrganicsKS-5140 </w:t>
            </w:r>
          </w:p>
        </w:tc>
      </w:tr>
    </w:tbl>
    <w:p>
      <w:pPr>
        <w:pStyle w:val="Heading2"/>
        <w:numPr>
          <w:ilvl w:val="1"/>
          <w:numId w:val="3"/>
        </w:numPr>
        <w:tabs>
          <w:tab w:val="clear" w:pos="1134"/>
          <w:tab w:val="left" w:pos="1418" w:leader="none"/>
        </w:tabs>
        <w:bidi w:val="0"/>
        <w:ind w:start="1418" w:hanging="283"/>
        <w:jc w:val="start"/>
        <w:rPr/>
      </w:pPr>
      <w:r>
        <w:rPr/>
        <w:t xml:space="preserve">Compound Source: </w:t>
      </w:r>
    </w:p>
    <w:tbl>
      <w:tblPr>
        <w:tblW w:w="3361" w:type="dxa"/>
        <w:jc w:val="start"/>
        <w:tblInd w:w="1418" w:type="dxa"/>
        <w:tblLayout w:type="fixed"/>
        <w:tblCellMar>
          <w:top w:w="28" w:type="dxa"/>
          <w:start w:w="28" w:type="dxa"/>
          <w:bottom w:w="28" w:type="dxa"/>
          <w:end w:w="28" w:type="dxa"/>
        </w:tblCellMar>
      </w:tblPr>
      <w:tblGrid>
        <w:gridCol w:w="3361"/>
      </w:tblGrid>
      <w:tr>
        <w:trPr/>
        <w:tc>
          <w:tcPr>
            <w:tcW w:w="3361" w:type="dxa"/>
            <w:tcBorders/>
            <w:vAlign w:val="center"/>
          </w:tcPr>
          <w:p>
            <w:pPr>
              <w:pStyle w:val="TableContents"/>
              <w:bidi w:val="0"/>
              <w:spacing w:before="0" w:after="283"/>
              <w:jc w:val="start"/>
              <w:rPr/>
            </w:pPr>
            <w:r>
              <w:rPr/>
              <w:t xml:space="preserve">syntheticMicrosource[01500412] </w:t>
            </w:r>
          </w:p>
        </w:tc>
      </w:tr>
    </w:tbl>
    <w:p>
      <w:pPr>
        <w:pStyle w:val="Heading2"/>
        <w:numPr>
          <w:ilvl w:val="1"/>
          <w:numId w:val="3"/>
        </w:numPr>
        <w:tabs>
          <w:tab w:val="clear" w:pos="1134"/>
          <w:tab w:val="left" w:pos="1418" w:leader="none"/>
        </w:tabs>
        <w:bidi w:val="0"/>
        <w:ind w:start="1418" w:hanging="283"/>
        <w:jc w:val="start"/>
        <w:rPr/>
      </w:pPr>
      <w:r>
        <w:rPr/>
        <w:t xml:space="preserve">Bio Activity: </w:t>
      </w:r>
    </w:p>
    <w:tbl>
      <w:tblPr>
        <w:tblW w:w="3301" w:type="dxa"/>
        <w:jc w:val="start"/>
        <w:tblInd w:w="1418" w:type="dxa"/>
        <w:tblLayout w:type="fixed"/>
        <w:tblCellMar>
          <w:top w:w="28" w:type="dxa"/>
          <w:start w:w="28" w:type="dxa"/>
          <w:bottom w:w="28" w:type="dxa"/>
          <w:end w:w="28" w:type="dxa"/>
        </w:tblCellMar>
      </w:tblPr>
      <w:tblGrid>
        <w:gridCol w:w="3301"/>
      </w:tblGrid>
      <w:tr>
        <w:trPr/>
        <w:tc>
          <w:tcPr>
            <w:tcW w:w="3301" w:type="dxa"/>
            <w:tcBorders/>
            <w:vAlign w:val="center"/>
          </w:tcPr>
          <w:p>
            <w:pPr>
              <w:pStyle w:val="TableContents"/>
              <w:bidi w:val="0"/>
              <w:spacing w:before="0" w:after="283"/>
              <w:jc w:val="start"/>
              <w:rPr/>
            </w:pPr>
            <w:r>
              <w:rPr/>
              <w:t xml:space="preserve">. Zerenex Molecular[ZBioX-0563] </w:t>
            </w:r>
          </w:p>
        </w:tc>
      </w:tr>
      <w:tr>
        <w:trPr/>
        <w:tc>
          <w:tcPr>
            <w:tcW w:w="3301" w:type="dxa"/>
            <w:tcBorders/>
            <w:vAlign w:val="center"/>
          </w:tcPr>
          <w:p>
            <w:pPr>
              <w:pStyle w:val="TableContents"/>
              <w:bidi w:val="0"/>
              <w:spacing w:before="0" w:after="283"/>
              <w:jc w:val="start"/>
              <w:rPr/>
            </w:pPr>
            <w:r>
              <w:rPr/>
              <w:t xml:space="preserve">AntibacterialMedChem ExpressHY-B0318 </w:t>
            </w:r>
          </w:p>
        </w:tc>
      </w:tr>
      <w:tr>
        <w:trPr/>
        <w:tc>
          <w:tcPr>
            <w:tcW w:w="3301" w:type="dxa"/>
            <w:tcBorders/>
            <w:vAlign w:val="center"/>
          </w:tcPr>
          <w:p>
            <w:pPr>
              <w:pStyle w:val="TableContents"/>
              <w:bidi w:val="0"/>
              <w:spacing w:before="0" w:after="283"/>
              <w:jc w:val="start"/>
              <w:rPr/>
            </w:pPr>
            <w:r>
              <w:rPr/>
              <w:t xml:space="preserve">Antibacterial AntiparasiticMedChem ExpressHY-B0318 </w:t>
            </w:r>
          </w:p>
        </w:tc>
      </w:tr>
      <w:tr>
        <w:trPr/>
        <w:tc>
          <w:tcPr>
            <w:tcW w:w="3301" w:type="dxa"/>
            <w:tcBorders/>
            <w:vAlign w:val="center"/>
          </w:tcPr>
          <w:p>
            <w:pPr>
              <w:pStyle w:val="TableContents"/>
              <w:bidi w:val="0"/>
              <w:spacing w:before="0" w:after="283"/>
              <w:jc w:val="start"/>
              <w:rPr/>
            </w:pPr>
            <w:r>
              <w:rPr/>
              <w:t xml:space="preserve">Anti-infectionMedChem ExpressHY-B0318 </w:t>
            </w:r>
          </w:p>
        </w:tc>
      </w:tr>
      <w:tr>
        <w:trPr/>
        <w:tc>
          <w:tcPr>
            <w:tcW w:w="3301" w:type="dxa"/>
            <w:tcBorders/>
            <w:vAlign w:val="center"/>
          </w:tcPr>
          <w:p>
            <w:pPr>
              <w:pStyle w:val="TableContents"/>
              <w:bidi w:val="0"/>
              <w:spacing w:before="0" w:after="283"/>
              <w:jc w:val="start"/>
              <w:rPr/>
            </w:pPr>
            <w:r>
              <w:rPr/>
              <w:t xml:space="preserve">Anti-infection; MedChem ExpressHY-B0318 </w:t>
            </w:r>
          </w:p>
        </w:tc>
      </w:tr>
      <w:tr>
        <w:trPr/>
        <w:tc>
          <w:tcPr>
            <w:tcW w:w="3301" w:type="dxa"/>
            <w:tcBorders/>
            <w:vAlign w:val="center"/>
          </w:tcPr>
          <w:p>
            <w:pPr>
              <w:pStyle w:val="TableContents"/>
              <w:bidi w:val="0"/>
              <w:spacing w:before="0" w:after="283"/>
              <w:jc w:val="start"/>
              <w:rPr/>
            </w:pPr>
            <w:r>
              <w:rPr/>
              <w:t xml:space="preserve">Fe hydrogenase 1; NADPH nitroreductase; 14-?? DemethylaseTargetMolT1079 </w:t>
            </w:r>
          </w:p>
        </w:tc>
      </w:tr>
      <w:tr>
        <w:trPr/>
        <w:tc>
          <w:tcPr>
            <w:tcW w:w="3301" w:type="dxa"/>
            <w:tcBorders/>
            <w:vAlign w:val="center"/>
          </w:tcPr>
          <w:p>
            <w:pPr>
              <w:pStyle w:val="TableContents"/>
              <w:bidi w:val="0"/>
              <w:spacing w:before="0" w:after="283"/>
              <w:jc w:val="start"/>
              <w:rPr/>
            </w:pPr>
            <w:r>
              <w:rPr/>
              <w:t xml:space="preserve">Metabolism; Microbiology &amp; VirologyTargetMolT1079 </w:t>
            </w:r>
          </w:p>
        </w:tc>
      </w:tr>
      <w:tr>
        <w:trPr/>
        <w:tc>
          <w:tcPr>
            <w:tcW w:w="3301" w:type="dxa"/>
            <w:tcBorders/>
            <w:vAlign w:val="center"/>
          </w:tcPr>
          <w:p>
            <w:pPr>
              <w:pStyle w:val="TableContents"/>
              <w:bidi w:val="0"/>
              <w:spacing w:before="0" w:after="283"/>
              <w:jc w:val="start"/>
              <w:rPr/>
            </w:pPr>
            <w:r>
              <w:rPr/>
              <w:t xml:space="preserve">Metronidazole is a nitroimidazole antibiotic medication used particularly for anaerobic bacteria and protozoa. MedChem Express </w:t>
            </w:r>
          </w:p>
        </w:tc>
      </w:tr>
      <w:tr>
        <w:trPr/>
        <w:tc>
          <w:tcPr>
            <w:tcW w:w="3301" w:type="dxa"/>
            <w:tcBorders/>
            <w:vAlign w:val="center"/>
          </w:tcPr>
          <w:p>
            <w:pPr>
              <w:pStyle w:val="TableContents"/>
              <w:bidi w:val="0"/>
              <w:spacing w:before="0" w:after="283"/>
              <w:jc w:val="start"/>
              <w:rPr/>
            </w:pPr>
            <w:r>
              <w:rPr/>
              <w:t xml:space="preserve">Metronidazole is a nitroimidazole antibiotic medication used particularly for anaerobic bacteria and protozoa.; Target: Antibacterial; Antiparasitic; Metronidazole is a nitroimidazole antibiotic medication used particularly for anaerobic bacteria and protozoa. MedChem ExpressHY-B0318 </w:t>
            </w:r>
          </w:p>
        </w:tc>
      </w:tr>
      <w:tr>
        <w:trPr/>
        <w:tc>
          <w:tcPr>
            <w:tcW w:w="3301" w:type="dxa"/>
            <w:tcBorders/>
            <w:vAlign w:val="center"/>
          </w:tcPr>
          <w:p>
            <w:pPr>
              <w:pStyle w:val="TableContents"/>
              <w:bidi w:val="0"/>
              <w:spacing w:before="0" w:after="283"/>
              <w:jc w:val="start"/>
              <w:rPr/>
            </w:pPr>
            <w:r>
              <w:rPr/>
              <w:t xml:space="preserve">Metronidazole is a nitroimidazole antibiotic medication used particularly for anaerobic bacteria and protozoa.; Target: Antibacterial; AntiparasiticMetronidazole is a nitroimidazole antibiotic medication used particularly for anaerobic bacteria and protozoa. Metronidazole is an antibiotic, amebicide, and antiprotozoal.[1] It is the drug of choice for first episodes of mild-to-moderate Clostridium difficile infection [2]. Metronidazole, taken up by diffusion, is selectively absorbed by anaerobic bacteria and sensitive protozoa. Once taken up by anaerobes, it is non-enzymatically reduced by reacting with reduced ferredoxin, which is generated by pyruvate oxido-reductase. Many of the reduced nitroso intermediates will form sulfinamides and thioether linkages with cysteine-bearing enzymes, thereby deactivating these critical enzymes. As many as 150 separate enzymes are affected. In addition or alternatively, the metronidazole metabolites are taken up into bacterial DNA, and form unstableMedChem ExpressHY-B0318 </w:t>
            </w:r>
          </w:p>
        </w:tc>
      </w:tr>
    </w:tbl>
    <w:p>
      <w:pPr>
        <w:pStyle w:val="TextBody"/>
        <w:numPr>
          <w:ilvl w:val="0"/>
          <w:numId w:val="3"/>
        </w:numPr>
        <w:tabs>
          <w:tab w:val="clear" w:pos="1134"/>
          <w:tab w:val="left" w:pos="709" w:leader="none"/>
        </w:tabs>
        <w:bidi w:val="0"/>
        <w:spacing w:before="0" w:after="0"/>
        <w:ind w:start="709" w:hanging="283"/>
        <w:jc w:val="start"/>
        <w:rPr/>
      </w:pPr>
      <w:r>
        <w:rPr/>
        <w:t xml:space="preserve">Gas Chromatography </w:t>
      </w:r>
    </w:p>
    <w:p>
      <w:pPr>
        <w:pStyle w:val="Heading2"/>
        <w:numPr>
          <w:ilvl w:val="1"/>
          <w:numId w:val="3"/>
        </w:numPr>
        <w:tabs>
          <w:tab w:val="clear" w:pos="1134"/>
          <w:tab w:val="left" w:pos="1418" w:leader="none"/>
        </w:tabs>
        <w:bidi w:val="0"/>
        <w:ind w:start="1418" w:hanging="283"/>
        <w:jc w:val="start"/>
        <w:rPr/>
      </w:pPr>
      <w:r>
        <w:rPr/>
        <w:t xml:space="preserve">Retention Index (Kovats): </w:t>
      </w:r>
    </w:p>
    <w:tbl>
      <w:tblPr>
        <w:tblW w:w="3301" w:type="dxa"/>
        <w:jc w:val="start"/>
        <w:tblInd w:w="1418" w:type="dxa"/>
        <w:tblLayout w:type="fixed"/>
        <w:tblCellMar>
          <w:top w:w="28" w:type="dxa"/>
          <w:start w:w="28" w:type="dxa"/>
          <w:bottom w:w="28" w:type="dxa"/>
          <w:end w:w="28" w:type="dxa"/>
        </w:tblCellMar>
      </w:tblPr>
      <w:tblGrid>
        <w:gridCol w:w="3301"/>
      </w:tblGrid>
      <w:tr>
        <w:trPr/>
        <w:tc>
          <w:tcPr>
            <w:tcW w:w="3301" w:type="dxa"/>
            <w:tcBorders/>
            <w:vAlign w:val="center"/>
          </w:tcPr>
          <w:p>
            <w:pPr>
              <w:pStyle w:val="TableContents"/>
              <w:bidi w:val="0"/>
              <w:spacing w:before="0" w:after="283"/>
              <w:jc w:val="start"/>
              <w:rPr/>
            </w:pPr>
            <w:r>
              <w:rPr/>
              <w:t xml:space="preserve">1518 (estimated with error: 89)NIST Spectramainlib_352184, replib_76026, replib_236890, replib_335158 </w:t>
            </w:r>
          </w:p>
        </w:tc>
      </w:tr>
      <w:tr>
        <w:trPr/>
        <w:tc>
          <w:tcPr>
            <w:tcW w:w="3301" w:type="dxa"/>
            <w:tcBorders/>
            <w:vAlign w:val="center"/>
          </w:tcPr>
          <w:p>
            <w:pPr>
              <w:pStyle w:val="TableContents"/>
              <w:bidi w:val="0"/>
              <w:spacing w:before="0" w:after="283"/>
              <w:jc w:val="start"/>
              <w:rPr/>
            </w:pPr>
            <w:r>
              <w:rPr/>
              <w:t xml:space="preserve">1618 (Program type: Isothermal; Col… (show more)umn class: Standard non-polar; Column length: 2 m; Column type: Packed; Start T: 180 C; CAS no: 443481; Active phase: SE-30; Carrier gas: N2; Substrate: 1% se-30 on Anachrom ABS(80-100mesh); Data type: Kovats RI; Authors: Musumarra, G.; Scarlata, G.; Romano, G.; Cappello, G.; Clementi, S.; Giulietti, G., Qualitative organic analysis. Part 2. Identification of drugs by principal components analysis of standardized TLC data in four eluent systems and of retention indices on SE 30, J. Anal. Toxicol., 11, 1987, 154-163.)NIST Spectranist ri </w:t>
            </w:r>
          </w:p>
        </w:tc>
      </w:tr>
    </w:tbl>
    <w:p>
      <w:pPr>
        <w:pStyle w:val="Heading2"/>
        <w:numPr>
          <w:ilvl w:val="1"/>
          <w:numId w:val="3"/>
        </w:numPr>
        <w:tabs>
          <w:tab w:val="clear" w:pos="1134"/>
          <w:tab w:val="left" w:pos="1418" w:leader="none"/>
        </w:tabs>
        <w:bidi w:val="0"/>
        <w:ind w:start="1418" w:hanging="283"/>
        <w:jc w:val="start"/>
        <w:rPr/>
      </w:pPr>
      <w:r>
        <w:rPr/>
        <w:t xml:space="preserve">Retention Index (Normal Alkane): </w:t>
      </w:r>
    </w:p>
    <w:tbl>
      <w:tblPr>
        <w:tblW w:w="3301" w:type="dxa"/>
        <w:jc w:val="start"/>
        <w:tblInd w:w="1418" w:type="dxa"/>
        <w:tblLayout w:type="fixed"/>
        <w:tblCellMar>
          <w:top w:w="28" w:type="dxa"/>
          <w:start w:w="28" w:type="dxa"/>
          <w:bottom w:w="28" w:type="dxa"/>
          <w:end w:w="28" w:type="dxa"/>
        </w:tblCellMar>
      </w:tblPr>
      <w:tblGrid>
        <w:gridCol w:w="3301"/>
      </w:tblGrid>
      <w:tr>
        <w:trPr/>
        <w:tc>
          <w:tcPr>
            <w:tcW w:w="3301" w:type="dxa"/>
            <w:tcBorders/>
            <w:vAlign w:val="center"/>
          </w:tcPr>
          <w:p>
            <w:pPr>
              <w:pStyle w:val="TableContents"/>
              <w:bidi w:val="0"/>
              <w:spacing w:before="0" w:after="283"/>
              <w:jc w:val="start"/>
              <w:rPr/>
            </w:pPr>
            <w:r>
              <w:rPr/>
              <w:t xml:space="preserve">1643. 7 (Program type: Ramp; Column cl… (show more)ass: Standard non-polar; Column diameter: 0. 32 mm; Column length: 12 m; Column type: Capillary; Heat rate: 10 K/min; Start T: 40 C; End T: 290 C; Start time: 1 min; CAS no: 443481; Active phase: SE-30; Carrier gas: He; Phase thickness: 0. 25 um; Data type: Normal alkane RI; Authors: Neill, G. P.; Davies, N. W.; McLean, S., Automated screening procedure using gas chromatography-mass spectrometry for identification of drugs after their extraction from biological samples, J. Chromatogr., 565, 1991, 207-224.)NIST Spectranist ri </w:t>
            </w:r>
          </w:p>
        </w:tc>
      </w:tr>
      <w:tr>
        <w:trPr/>
        <w:tc>
          <w:tcPr>
            <w:tcW w:w="3301" w:type="dxa"/>
            <w:tcBorders/>
            <w:vAlign w:val="center"/>
          </w:tcPr>
          <w:p>
            <w:pPr>
              <w:pStyle w:val="TableContents"/>
              <w:bidi w:val="0"/>
              <w:spacing w:before="0" w:after="283"/>
              <w:jc w:val="start"/>
              <w:rPr/>
            </w:pPr>
            <w:r>
              <w:rPr/>
              <w:t xml:space="preserve">1592 (Program type: Ramp; Column cl… (show more)ass: Standard non-polar; Column type: Other; CAS no: 443481; Active phase: Methyl Silicone; Data type: Normal alkane RI; Authors: Ardrey, R. E.; Moffat, A. C., Gas-liquid chromatographic retention indices of 1318 substances of toxicological interest on SE-30 or OV-1 stationary phase, J. Chromatogr., 220, 1981, 195-252.)NIST Spectranist ri </w:t>
            </w:r>
          </w:p>
        </w:tc>
      </w:tr>
    </w:tbl>
    <w:p>
      <w:pPr>
        <w:pStyle w:val="Heading2"/>
        <w:numPr>
          <w:ilvl w:val="1"/>
          <w:numId w:val="3"/>
        </w:numPr>
        <w:tabs>
          <w:tab w:val="clear" w:pos="1134"/>
          <w:tab w:val="left" w:pos="1418" w:leader="none"/>
        </w:tabs>
        <w:bidi w:val="0"/>
        <w:ind w:start="1418" w:hanging="283"/>
        <w:jc w:val="start"/>
        <w:rPr/>
      </w:pPr>
      <w:r>
        <w:rPr/>
        <w:t xml:space="preserve">Retention Index (Linear): </w:t>
      </w:r>
    </w:p>
    <w:tbl>
      <w:tblPr>
        <w:tblW w:w="3301" w:type="dxa"/>
        <w:jc w:val="start"/>
        <w:tblInd w:w="1418" w:type="dxa"/>
        <w:tblLayout w:type="fixed"/>
        <w:tblCellMar>
          <w:top w:w="28" w:type="dxa"/>
          <w:start w:w="28" w:type="dxa"/>
          <w:bottom w:w="28" w:type="dxa"/>
          <w:end w:w="28" w:type="dxa"/>
        </w:tblCellMar>
      </w:tblPr>
      <w:tblGrid>
        <w:gridCol w:w="3301"/>
      </w:tblGrid>
      <w:tr>
        <w:trPr/>
        <w:tc>
          <w:tcPr>
            <w:tcW w:w="3301" w:type="dxa"/>
            <w:tcBorders/>
            <w:vAlign w:val="center"/>
          </w:tcPr>
          <w:p>
            <w:pPr>
              <w:pStyle w:val="TableContents"/>
              <w:bidi w:val="0"/>
              <w:spacing w:before="0" w:after="283"/>
              <w:jc w:val="start"/>
              <w:rPr/>
            </w:pPr>
            <w:r>
              <w:rPr/>
              <w:t xml:space="preserve">1590 (Program type: Ramp; Column cl… (show more)ass: Standard non-polar; Column length: 1. 8 m; Column type: Packed; Heat rate: 8 K/min; Start T: 130 C; End T: 290 C; End time: 8 min; Start time: 2 min; CAS no: 443481; Active phase: SE-30; Carrier gas: N2; Substrate: Chromosorb W; Data type: Linear RI; Authors: Perrigo, B. J.; Peel, H. W., The use of retention indices and temperature-programmed gas chromatography in analytical toxicology, J. Chromatogr. Sci., 19, 1981, 219-226.)NIST Spectranist ri </w:t>
            </w:r>
          </w:p>
        </w:tc>
      </w:tr>
      <w:tr>
        <w:trPr/>
        <w:tc>
          <w:tcPr>
            <w:tcW w:w="3301" w:type="dxa"/>
            <w:tcBorders/>
            <w:vAlign w:val="center"/>
          </w:tcPr>
          <w:p>
            <w:pPr>
              <w:pStyle w:val="TableContents"/>
              <w:bidi w:val="0"/>
              <w:spacing w:before="0" w:after="283"/>
              <w:jc w:val="start"/>
              <w:rPr/>
            </w:pPr>
            <w:r>
              <w:rPr/>
              <w:t xml:space="preserve">1669. 6 (Program type: Complex; Column… (show more)class: Semi-standard non-polar; Column diameter: 0. 25 mm; Column length: 30 m; Column type: Capillary; Description: Multi-step temperature program; T(initial)= 60C; T(final)= 270C; CAS no: 443481; Active phase: VF-5MS; Carrier gas: He; Phase thickness: 0. 25 um; Data type: Linear RI; Authors: Tret’yakov, K. V., Retention Data. NIST Mass Spectrometry Data Center., 2008.)NIST Spectranist ri </w:t>
            </w:r>
          </w:p>
        </w:tc>
      </w:tr>
    </w:tbl>
    <w:p>
      <w:pPr>
        <w:pStyle w:val="TextBody"/>
        <w:bidi w:val="0"/>
        <w:jc w:val="start"/>
        <w:rPr/>
      </w:pPr>
      <w:r>
        <w:rPr/>
        <w:t xml:space="preserve">Predicted data is generated using the ACD/Labs Percepta Platform – PhysChem Module </w:t>
      </w:r>
    </w:p>
    <w:p>
      <w:pPr>
        <w:pStyle w:val="a"/>
        <w:bidi w:val="0"/>
        <w:spacing w:before="0" w:after="0"/>
        <w:jc w:val="start"/>
        <w:rPr>
          <w:sz w:val="4"/>
          <w:szCs w:val="4"/>
        </w:rPr>
      </w:pPr>
      <w:r>
        <w:rPr>
          <w:sz w:val="4"/>
          <w:szCs w:val="4"/>
        </w:rPr>
      </w:r>
      <w:bookmarkStart w:id="1" w:name="_acdlabs-table"/>
      <w:bookmarkStart w:id="2" w:name="_acdlabs-table"/>
      <w:bookmarkEnd w:id="1"/>
    </w:p>
    <w:tbl>
      <w:tblPr>
        <w:tblW w:w="5000" w:type="pct"/>
        <w:jc w:val="start"/>
        <w:tblInd w:w="0" w:type="dxa"/>
        <w:tblLayout w:type="fixed"/>
        <w:tblCellMar>
          <w:top w:w="28" w:type="dxa"/>
          <w:start w:w="28" w:type="dxa"/>
          <w:bottom w:w="28" w:type="dxa"/>
          <w:end w:w="28" w:type="dxa"/>
        </w:tblCellMar>
      </w:tblPr>
      <w:tblGrid>
        <w:gridCol w:w="2270"/>
        <w:gridCol w:w="2449"/>
      </w:tblGrid>
      <w:tr>
        <w:trPr/>
        <w:tc>
          <w:tcPr>
            <w:tcW w:w="2270" w:type="dxa"/>
            <w:tcBorders/>
            <w:vAlign w:val="center"/>
          </w:tcPr>
          <w:p>
            <w:pPr>
              <w:pStyle w:val="TableContents"/>
              <w:bidi w:val="0"/>
              <w:spacing w:before="0" w:after="283"/>
              <w:jc w:val="start"/>
              <w:rPr/>
            </w:pPr>
            <w:r>
              <w:rPr/>
              <w:t xml:space="preserve">Density: </w:t>
            </w:r>
          </w:p>
        </w:tc>
        <w:tc>
          <w:tcPr>
            <w:tcW w:w="2449" w:type="dxa"/>
            <w:tcBorders/>
            <w:vAlign w:val="center"/>
          </w:tcPr>
          <w:p>
            <w:pPr>
              <w:pStyle w:val="TableContents"/>
              <w:bidi w:val="0"/>
              <w:spacing w:before="0" w:after="283"/>
              <w:jc w:val="start"/>
              <w:rPr/>
            </w:pPr>
            <w:r>
              <w:rPr/>
              <w:t xml:space="preserve">1. 5±0. 1 g/cm </w:t>
            </w:r>
            <w:r>
              <w:rPr>
                <w:position w:val="8"/>
                <w:sz w:val="19"/>
              </w:rPr>
              <w:t xml:space="preserve">3 </w:t>
            </w:r>
          </w:p>
        </w:tc>
      </w:tr>
      <w:tr>
        <w:trPr/>
        <w:tc>
          <w:tcPr>
            <w:tcW w:w="2270" w:type="dxa"/>
            <w:tcBorders/>
            <w:vAlign w:val="center"/>
          </w:tcPr>
          <w:p>
            <w:pPr>
              <w:pStyle w:val="TableContents"/>
              <w:bidi w:val="0"/>
              <w:spacing w:before="0" w:after="283"/>
              <w:jc w:val="start"/>
              <w:rPr/>
            </w:pPr>
            <w:r>
              <w:rPr/>
              <w:t xml:space="preserve">Boiling Point: </w:t>
            </w:r>
          </w:p>
        </w:tc>
        <w:tc>
          <w:tcPr>
            <w:tcW w:w="2449" w:type="dxa"/>
            <w:tcBorders/>
            <w:vAlign w:val="center"/>
          </w:tcPr>
          <w:p>
            <w:pPr>
              <w:pStyle w:val="TableContents"/>
              <w:bidi w:val="0"/>
              <w:spacing w:before="0" w:after="283"/>
              <w:jc w:val="start"/>
              <w:rPr/>
            </w:pPr>
            <w:r>
              <w:rPr/>
              <w:t xml:space="preserve">405. 4±25. 0 °C at 760 mmHg </w:t>
            </w:r>
          </w:p>
        </w:tc>
      </w:tr>
      <w:tr>
        <w:trPr/>
        <w:tc>
          <w:tcPr>
            <w:tcW w:w="2270" w:type="dxa"/>
            <w:tcBorders/>
            <w:vAlign w:val="center"/>
          </w:tcPr>
          <w:p>
            <w:pPr>
              <w:pStyle w:val="TableContents"/>
              <w:bidi w:val="0"/>
              <w:spacing w:before="0" w:after="283"/>
              <w:jc w:val="start"/>
              <w:rPr/>
            </w:pPr>
            <w:r>
              <w:rPr/>
              <w:t xml:space="preserve">Vapour Pressure: </w:t>
            </w:r>
          </w:p>
        </w:tc>
        <w:tc>
          <w:tcPr>
            <w:tcW w:w="2449" w:type="dxa"/>
            <w:tcBorders/>
            <w:vAlign w:val="center"/>
          </w:tcPr>
          <w:p>
            <w:pPr>
              <w:pStyle w:val="TableContents"/>
              <w:bidi w:val="0"/>
              <w:spacing w:before="0" w:after="283"/>
              <w:jc w:val="start"/>
              <w:rPr/>
            </w:pPr>
            <w:r>
              <w:rPr/>
              <w:t xml:space="preserve">0. 0±1. 0 mmHg at 25°C </w:t>
            </w:r>
          </w:p>
        </w:tc>
      </w:tr>
      <w:tr>
        <w:trPr/>
        <w:tc>
          <w:tcPr>
            <w:tcW w:w="2270" w:type="dxa"/>
            <w:tcBorders/>
            <w:vAlign w:val="center"/>
          </w:tcPr>
          <w:p>
            <w:pPr>
              <w:pStyle w:val="TableContents"/>
              <w:bidi w:val="0"/>
              <w:spacing w:before="0" w:after="283"/>
              <w:jc w:val="start"/>
              <w:rPr/>
            </w:pPr>
            <w:r>
              <w:rPr/>
              <w:t xml:space="preserve">Enthalpy of Vaporization: </w:t>
            </w:r>
          </w:p>
        </w:tc>
        <w:tc>
          <w:tcPr>
            <w:tcW w:w="2449" w:type="dxa"/>
            <w:tcBorders/>
            <w:vAlign w:val="center"/>
          </w:tcPr>
          <w:p>
            <w:pPr>
              <w:pStyle w:val="TableContents"/>
              <w:bidi w:val="0"/>
              <w:spacing w:before="0" w:after="283"/>
              <w:jc w:val="start"/>
              <w:rPr/>
            </w:pPr>
            <w:r>
              <w:rPr/>
              <w:t xml:space="preserve">69. 3±3. 0 kJ/mol </w:t>
            </w:r>
          </w:p>
        </w:tc>
      </w:tr>
      <w:tr>
        <w:trPr/>
        <w:tc>
          <w:tcPr>
            <w:tcW w:w="2270" w:type="dxa"/>
            <w:tcBorders/>
            <w:vAlign w:val="center"/>
          </w:tcPr>
          <w:p>
            <w:pPr>
              <w:pStyle w:val="TableContents"/>
              <w:bidi w:val="0"/>
              <w:spacing w:before="0" w:after="283"/>
              <w:jc w:val="start"/>
              <w:rPr/>
            </w:pPr>
            <w:r>
              <w:rPr/>
              <w:t xml:space="preserve">Flash Point: </w:t>
            </w:r>
          </w:p>
        </w:tc>
        <w:tc>
          <w:tcPr>
            <w:tcW w:w="2449" w:type="dxa"/>
            <w:tcBorders/>
            <w:vAlign w:val="center"/>
          </w:tcPr>
          <w:p>
            <w:pPr>
              <w:pStyle w:val="TableContents"/>
              <w:bidi w:val="0"/>
              <w:spacing w:before="0" w:after="283"/>
              <w:jc w:val="start"/>
              <w:rPr/>
            </w:pPr>
            <w:r>
              <w:rPr/>
              <w:t xml:space="preserve">199. 0±23. 2 °C </w:t>
            </w:r>
          </w:p>
        </w:tc>
      </w:tr>
      <w:tr>
        <w:trPr/>
        <w:tc>
          <w:tcPr>
            <w:tcW w:w="2270" w:type="dxa"/>
            <w:tcBorders/>
            <w:vAlign w:val="center"/>
          </w:tcPr>
          <w:p>
            <w:pPr>
              <w:pStyle w:val="TableContents"/>
              <w:bidi w:val="0"/>
              <w:spacing w:before="0" w:after="283"/>
              <w:jc w:val="start"/>
              <w:rPr/>
            </w:pPr>
            <w:r>
              <w:rPr/>
              <w:t xml:space="preserve">Index of Refraction: </w:t>
            </w:r>
          </w:p>
        </w:tc>
        <w:tc>
          <w:tcPr>
            <w:tcW w:w="2449" w:type="dxa"/>
            <w:tcBorders/>
            <w:vAlign w:val="center"/>
          </w:tcPr>
          <w:p>
            <w:pPr>
              <w:pStyle w:val="TableContents"/>
              <w:bidi w:val="0"/>
              <w:spacing w:before="0" w:after="283"/>
              <w:jc w:val="start"/>
              <w:rPr/>
            </w:pPr>
            <w:r>
              <w:rPr/>
              <w:t xml:space="preserve">1. 612 </w:t>
            </w:r>
          </w:p>
        </w:tc>
      </w:tr>
      <w:tr>
        <w:trPr/>
        <w:tc>
          <w:tcPr>
            <w:tcW w:w="2270" w:type="dxa"/>
            <w:tcBorders/>
            <w:vAlign w:val="center"/>
          </w:tcPr>
          <w:p>
            <w:pPr>
              <w:pStyle w:val="TableContents"/>
              <w:bidi w:val="0"/>
              <w:spacing w:before="0" w:after="283"/>
              <w:jc w:val="start"/>
              <w:rPr/>
            </w:pPr>
            <w:r>
              <w:rPr/>
              <w:t xml:space="preserve">Molar Refractivity: </w:t>
            </w:r>
          </w:p>
        </w:tc>
        <w:tc>
          <w:tcPr>
            <w:tcW w:w="2449" w:type="dxa"/>
            <w:tcBorders/>
            <w:vAlign w:val="center"/>
          </w:tcPr>
          <w:p>
            <w:pPr>
              <w:pStyle w:val="TableContents"/>
              <w:bidi w:val="0"/>
              <w:spacing w:before="0" w:after="283"/>
              <w:jc w:val="start"/>
              <w:rPr/>
            </w:pPr>
            <w:r>
              <w:rPr/>
              <w:t xml:space="preserve">41. 0±0. 5 cm </w:t>
            </w:r>
            <w:r>
              <w:rPr>
                <w:position w:val="8"/>
                <w:sz w:val="19"/>
              </w:rPr>
              <w:t xml:space="preserve">3 </w:t>
            </w:r>
          </w:p>
        </w:tc>
      </w:tr>
      <w:tr>
        <w:trPr/>
        <w:tc>
          <w:tcPr>
            <w:tcW w:w="2270" w:type="dxa"/>
            <w:tcBorders/>
            <w:vAlign w:val="center"/>
          </w:tcPr>
          <w:p>
            <w:pPr>
              <w:pStyle w:val="TableContents"/>
              <w:bidi w:val="0"/>
              <w:spacing w:before="0" w:after="283"/>
              <w:jc w:val="start"/>
              <w:rPr/>
            </w:pPr>
            <w:r>
              <w:rPr/>
              <w:t xml:space="preserve">#H bond acceptors: </w:t>
            </w:r>
          </w:p>
        </w:tc>
        <w:tc>
          <w:tcPr>
            <w:tcW w:w="2449" w:type="dxa"/>
            <w:tcBorders/>
            <w:vAlign w:val="center"/>
          </w:tcPr>
          <w:p>
            <w:pPr>
              <w:pStyle w:val="TableContents"/>
              <w:bidi w:val="0"/>
              <w:spacing w:before="0" w:after="283"/>
              <w:jc w:val="start"/>
              <w:rPr/>
            </w:pPr>
            <w:r>
              <w:rPr/>
              <w:t xml:space="preserve">6 </w:t>
            </w:r>
          </w:p>
        </w:tc>
      </w:tr>
      <w:tr>
        <w:trPr/>
        <w:tc>
          <w:tcPr>
            <w:tcW w:w="2270" w:type="dxa"/>
            <w:tcBorders/>
            <w:vAlign w:val="center"/>
          </w:tcPr>
          <w:p>
            <w:pPr>
              <w:pStyle w:val="TableContents"/>
              <w:bidi w:val="0"/>
              <w:spacing w:before="0" w:after="283"/>
              <w:jc w:val="start"/>
              <w:rPr/>
            </w:pPr>
            <w:r>
              <w:rPr/>
              <w:t xml:space="preserve">#H bond donors: </w:t>
            </w:r>
          </w:p>
        </w:tc>
        <w:tc>
          <w:tcPr>
            <w:tcW w:w="2449" w:type="dxa"/>
            <w:tcBorders/>
            <w:vAlign w:val="center"/>
          </w:tcPr>
          <w:p>
            <w:pPr>
              <w:pStyle w:val="TableContents"/>
              <w:bidi w:val="0"/>
              <w:spacing w:before="0" w:after="283"/>
              <w:jc w:val="start"/>
              <w:rPr/>
            </w:pPr>
            <w:r>
              <w:rPr/>
              <w:t xml:space="preserve">1 </w:t>
            </w:r>
          </w:p>
        </w:tc>
      </w:tr>
      <w:tr>
        <w:trPr/>
        <w:tc>
          <w:tcPr>
            <w:tcW w:w="2270" w:type="dxa"/>
            <w:tcBorders/>
            <w:vAlign w:val="center"/>
          </w:tcPr>
          <w:p>
            <w:pPr>
              <w:pStyle w:val="TableContents"/>
              <w:bidi w:val="0"/>
              <w:spacing w:before="0" w:after="283"/>
              <w:jc w:val="start"/>
              <w:rPr/>
            </w:pPr>
            <w:r>
              <w:rPr/>
              <w:t xml:space="preserve">#Freely Rotating Bonds: </w:t>
            </w:r>
          </w:p>
        </w:tc>
        <w:tc>
          <w:tcPr>
            <w:tcW w:w="2449" w:type="dxa"/>
            <w:tcBorders/>
            <w:vAlign w:val="center"/>
          </w:tcPr>
          <w:p>
            <w:pPr>
              <w:pStyle w:val="TableContents"/>
              <w:bidi w:val="0"/>
              <w:spacing w:before="0" w:after="283"/>
              <w:jc w:val="start"/>
              <w:rPr/>
            </w:pPr>
            <w:r>
              <w:rPr/>
              <w:t xml:space="preserve">3 </w:t>
            </w:r>
          </w:p>
        </w:tc>
      </w:tr>
      <w:tr>
        <w:trPr/>
        <w:tc>
          <w:tcPr>
            <w:tcW w:w="2270" w:type="dxa"/>
            <w:tcBorders/>
            <w:vAlign w:val="center"/>
          </w:tcPr>
          <w:p>
            <w:pPr>
              <w:pStyle w:val="TableContents"/>
              <w:bidi w:val="0"/>
              <w:spacing w:before="0" w:after="283"/>
              <w:jc w:val="start"/>
              <w:rPr/>
            </w:pPr>
            <w:r>
              <w:rPr/>
              <w:t xml:space="preserve">#Rule of 5 Violations: </w:t>
            </w:r>
          </w:p>
        </w:tc>
        <w:tc>
          <w:tcPr>
            <w:tcW w:w="2449" w:type="dxa"/>
            <w:tcBorders/>
            <w:vAlign w:val="center"/>
          </w:tcPr>
          <w:p>
            <w:pPr>
              <w:pStyle w:val="TableContents"/>
              <w:bidi w:val="0"/>
              <w:spacing w:before="0" w:after="283"/>
              <w:jc w:val="start"/>
              <w:rPr/>
            </w:pPr>
            <w:r>
              <w:rPr/>
              <w:t xml:space="preserve">0 </w:t>
            </w:r>
          </w:p>
        </w:tc>
      </w:tr>
    </w:tbl>
    <w:tbl>
      <w:tblPr>
        <w:tblW w:w="5000" w:type="pct"/>
        <w:jc w:val="start"/>
        <w:tblInd w:w="0" w:type="dxa"/>
        <w:tblLayout w:type="fixed"/>
        <w:tblCellMar>
          <w:top w:w="28" w:type="dxa"/>
          <w:start w:w="28" w:type="dxa"/>
          <w:bottom w:w="28" w:type="dxa"/>
          <w:end w:w="28" w:type="dxa"/>
        </w:tblCellMar>
      </w:tblPr>
      <w:tblGrid>
        <w:gridCol w:w="2374"/>
        <w:gridCol w:w="2344"/>
      </w:tblGrid>
      <w:tr>
        <w:trPr/>
        <w:tc>
          <w:tcPr>
            <w:tcW w:w="2374" w:type="dxa"/>
            <w:tcBorders/>
            <w:vAlign w:val="center"/>
          </w:tcPr>
          <w:p>
            <w:pPr>
              <w:pStyle w:val="TableContents"/>
              <w:bidi w:val="0"/>
              <w:spacing w:before="0" w:after="283"/>
              <w:jc w:val="start"/>
              <w:rPr/>
            </w:pPr>
            <w:r>
              <w:rPr/>
              <w:t xml:space="preserve">ACD/LogP: </w:t>
            </w:r>
          </w:p>
        </w:tc>
        <w:tc>
          <w:tcPr>
            <w:tcW w:w="2344" w:type="dxa"/>
            <w:tcBorders/>
            <w:vAlign w:val="center"/>
          </w:tcPr>
          <w:p>
            <w:pPr>
              <w:pStyle w:val="TableContents"/>
              <w:bidi w:val="0"/>
              <w:spacing w:before="0" w:after="283"/>
              <w:jc w:val="start"/>
              <w:rPr/>
            </w:pPr>
            <w:r>
              <w:rPr/>
              <w:t xml:space="preserve">-0. 01 </w:t>
            </w:r>
          </w:p>
        </w:tc>
      </w:tr>
      <w:tr>
        <w:trPr/>
        <w:tc>
          <w:tcPr>
            <w:tcW w:w="2374" w:type="dxa"/>
            <w:tcBorders/>
            <w:vAlign w:val="center"/>
          </w:tcPr>
          <w:p>
            <w:pPr>
              <w:pStyle w:val="TableContents"/>
              <w:bidi w:val="0"/>
              <w:spacing w:before="0" w:after="283"/>
              <w:jc w:val="start"/>
              <w:rPr/>
            </w:pPr>
            <w:r>
              <w:rPr/>
              <w:t xml:space="preserve">ACD/LogD (pH 5. 5): </w:t>
            </w:r>
          </w:p>
        </w:tc>
        <w:tc>
          <w:tcPr>
            <w:tcW w:w="2344" w:type="dxa"/>
            <w:tcBorders/>
            <w:vAlign w:val="center"/>
          </w:tcPr>
          <w:p>
            <w:pPr>
              <w:pStyle w:val="TableContents"/>
              <w:bidi w:val="0"/>
              <w:spacing w:before="0" w:after="283"/>
              <w:jc w:val="start"/>
              <w:rPr/>
            </w:pPr>
            <w:r>
              <w:rPr/>
              <w:t xml:space="preserve">0. 05 </w:t>
            </w:r>
          </w:p>
        </w:tc>
      </w:tr>
      <w:tr>
        <w:trPr/>
        <w:tc>
          <w:tcPr>
            <w:tcW w:w="2374" w:type="dxa"/>
            <w:tcBorders/>
            <w:vAlign w:val="center"/>
          </w:tcPr>
          <w:p>
            <w:pPr>
              <w:pStyle w:val="TableContents"/>
              <w:bidi w:val="0"/>
              <w:spacing w:before="0" w:after="283"/>
              <w:jc w:val="start"/>
              <w:rPr/>
            </w:pPr>
            <w:r>
              <w:rPr/>
              <w:t xml:space="preserve">ACD/BCF (pH 5. 5): </w:t>
            </w:r>
          </w:p>
        </w:tc>
        <w:tc>
          <w:tcPr>
            <w:tcW w:w="2344" w:type="dxa"/>
            <w:tcBorders/>
            <w:vAlign w:val="center"/>
          </w:tcPr>
          <w:p>
            <w:pPr>
              <w:pStyle w:val="TableContents"/>
              <w:bidi w:val="0"/>
              <w:spacing w:before="0" w:after="283"/>
              <w:jc w:val="start"/>
              <w:rPr/>
            </w:pPr>
            <w:r>
              <w:rPr/>
              <w:t xml:space="preserve">1. 00 </w:t>
            </w:r>
          </w:p>
        </w:tc>
      </w:tr>
      <w:tr>
        <w:trPr/>
        <w:tc>
          <w:tcPr>
            <w:tcW w:w="2374" w:type="dxa"/>
            <w:tcBorders/>
            <w:vAlign w:val="center"/>
          </w:tcPr>
          <w:p>
            <w:pPr>
              <w:pStyle w:val="TableContents"/>
              <w:bidi w:val="0"/>
              <w:spacing w:before="0" w:after="283"/>
              <w:jc w:val="start"/>
              <w:rPr/>
            </w:pPr>
            <w:r>
              <w:rPr/>
              <w:t xml:space="preserve">ACD/KOC (pH 5. 5): </w:t>
            </w:r>
          </w:p>
        </w:tc>
        <w:tc>
          <w:tcPr>
            <w:tcW w:w="2344" w:type="dxa"/>
            <w:tcBorders/>
            <w:vAlign w:val="center"/>
          </w:tcPr>
          <w:p>
            <w:pPr>
              <w:pStyle w:val="TableContents"/>
              <w:bidi w:val="0"/>
              <w:spacing w:before="0" w:after="283"/>
              <w:jc w:val="start"/>
              <w:rPr/>
            </w:pPr>
            <w:r>
              <w:rPr/>
              <w:t xml:space="preserve">25. 34 </w:t>
            </w:r>
          </w:p>
        </w:tc>
      </w:tr>
      <w:tr>
        <w:trPr/>
        <w:tc>
          <w:tcPr>
            <w:tcW w:w="2374" w:type="dxa"/>
            <w:tcBorders/>
            <w:vAlign w:val="center"/>
          </w:tcPr>
          <w:p>
            <w:pPr>
              <w:pStyle w:val="TableContents"/>
              <w:bidi w:val="0"/>
              <w:spacing w:before="0" w:after="283"/>
              <w:jc w:val="start"/>
              <w:rPr/>
            </w:pPr>
            <w:r>
              <w:rPr/>
              <w:t xml:space="preserve">ACD/LogD (pH 7. 4): </w:t>
            </w:r>
          </w:p>
        </w:tc>
        <w:tc>
          <w:tcPr>
            <w:tcW w:w="2344" w:type="dxa"/>
            <w:tcBorders/>
            <w:vAlign w:val="center"/>
          </w:tcPr>
          <w:p>
            <w:pPr>
              <w:pStyle w:val="TableContents"/>
              <w:bidi w:val="0"/>
              <w:spacing w:before="0" w:after="283"/>
              <w:jc w:val="start"/>
              <w:rPr/>
            </w:pPr>
            <w:r>
              <w:rPr/>
              <w:t xml:space="preserve">0. 05 </w:t>
            </w:r>
          </w:p>
        </w:tc>
      </w:tr>
      <w:tr>
        <w:trPr/>
        <w:tc>
          <w:tcPr>
            <w:tcW w:w="2374" w:type="dxa"/>
            <w:tcBorders/>
            <w:vAlign w:val="center"/>
          </w:tcPr>
          <w:p>
            <w:pPr>
              <w:pStyle w:val="TableContents"/>
              <w:bidi w:val="0"/>
              <w:spacing w:before="0" w:after="283"/>
              <w:jc w:val="start"/>
              <w:rPr/>
            </w:pPr>
            <w:r>
              <w:rPr/>
              <w:t xml:space="preserve">ACD/BCF (pH 7. 4): </w:t>
            </w:r>
          </w:p>
        </w:tc>
        <w:tc>
          <w:tcPr>
            <w:tcW w:w="2344" w:type="dxa"/>
            <w:tcBorders/>
            <w:vAlign w:val="center"/>
          </w:tcPr>
          <w:p>
            <w:pPr>
              <w:pStyle w:val="TableContents"/>
              <w:bidi w:val="0"/>
              <w:spacing w:before="0" w:after="283"/>
              <w:jc w:val="start"/>
              <w:rPr/>
            </w:pPr>
            <w:r>
              <w:rPr/>
              <w:t xml:space="preserve">1. 00 </w:t>
            </w:r>
          </w:p>
        </w:tc>
      </w:tr>
      <w:tr>
        <w:trPr/>
        <w:tc>
          <w:tcPr>
            <w:tcW w:w="2374" w:type="dxa"/>
            <w:tcBorders/>
            <w:vAlign w:val="center"/>
          </w:tcPr>
          <w:p>
            <w:pPr>
              <w:pStyle w:val="TableContents"/>
              <w:bidi w:val="0"/>
              <w:spacing w:before="0" w:after="283"/>
              <w:jc w:val="start"/>
              <w:rPr/>
            </w:pPr>
            <w:r>
              <w:rPr/>
              <w:t xml:space="preserve">ACD/KOC (pH 7. 4): </w:t>
            </w:r>
          </w:p>
        </w:tc>
        <w:tc>
          <w:tcPr>
            <w:tcW w:w="2344" w:type="dxa"/>
            <w:tcBorders/>
            <w:vAlign w:val="center"/>
          </w:tcPr>
          <w:p>
            <w:pPr>
              <w:pStyle w:val="TableContents"/>
              <w:bidi w:val="0"/>
              <w:spacing w:before="0" w:after="283"/>
              <w:jc w:val="start"/>
              <w:rPr/>
            </w:pPr>
            <w:r>
              <w:rPr/>
              <w:t xml:space="preserve">25. 38 </w:t>
            </w:r>
          </w:p>
        </w:tc>
      </w:tr>
      <w:tr>
        <w:trPr/>
        <w:tc>
          <w:tcPr>
            <w:tcW w:w="2374" w:type="dxa"/>
            <w:tcBorders/>
            <w:vAlign w:val="center"/>
          </w:tcPr>
          <w:p>
            <w:pPr>
              <w:pStyle w:val="TableContents"/>
              <w:bidi w:val="0"/>
              <w:spacing w:before="0" w:after="283"/>
              <w:jc w:val="start"/>
              <w:rPr/>
            </w:pPr>
            <w:r>
              <w:rPr/>
              <w:t xml:space="preserve">Polar Surface Area: </w:t>
            </w:r>
          </w:p>
        </w:tc>
        <w:tc>
          <w:tcPr>
            <w:tcW w:w="2344" w:type="dxa"/>
            <w:tcBorders/>
            <w:vAlign w:val="center"/>
          </w:tcPr>
          <w:p>
            <w:pPr>
              <w:pStyle w:val="TableContents"/>
              <w:bidi w:val="0"/>
              <w:spacing w:before="0" w:after="283"/>
              <w:jc w:val="start"/>
              <w:rPr/>
            </w:pPr>
            <w:r>
              <w:rPr/>
              <w:t xml:space="preserve">84 Å </w:t>
            </w:r>
            <w:r>
              <w:rPr>
                <w:position w:val="8"/>
                <w:sz w:val="19"/>
              </w:rPr>
              <w:t xml:space="preserve">2 </w:t>
            </w:r>
          </w:p>
        </w:tc>
      </w:tr>
      <w:tr>
        <w:trPr/>
        <w:tc>
          <w:tcPr>
            <w:tcW w:w="2374" w:type="dxa"/>
            <w:tcBorders/>
            <w:vAlign w:val="center"/>
          </w:tcPr>
          <w:p>
            <w:pPr>
              <w:pStyle w:val="TableContents"/>
              <w:bidi w:val="0"/>
              <w:spacing w:before="0" w:after="283"/>
              <w:jc w:val="start"/>
              <w:rPr/>
            </w:pPr>
            <w:r>
              <w:rPr/>
              <w:t xml:space="preserve">Polarizability: </w:t>
            </w:r>
          </w:p>
        </w:tc>
        <w:tc>
          <w:tcPr>
            <w:tcW w:w="2344" w:type="dxa"/>
            <w:tcBorders/>
            <w:vAlign w:val="center"/>
          </w:tcPr>
          <w:p>
            <w:pPr>
              <w:pStyle w:val="TableContents"/>
              <w:bidi w:val="0"/>
              <w:spacing w:before="0" w:after="283"/>
              <w:jc w:val="start"/>
              <w:rPr/>
            </w:pPr>
            <w:r>
              <w:rPr/>
              <w:t xml:space="preserve">16. 2±0. 5 10 </w:t>
            </w:r>
            <w:r>
              <w:rPr>
                <w:position w:val="8"/>
                <w:sz w:val="19"/>
              </w:rPr>
              <w:t xml:space="preserve">-24 </w:t>
            </w:r>
            <w:r>
              <w:rPr/>
              <w:t xml:space="preserve">cm </w:t>
            </w:r>
            <w:r>
              <w:rPr>
                <w:position w:val="8"/>
                <w:sz w:val="19"/>
              </w:rPr>
              <w:t xml:space="preserve">3 </w:t>
            </w:r>
          </w:p>
        </w:tc>
      </w:tr>
      <w:tr>
        <w:trPr/>
        <w:tc>
          <w:tcPr>
            <w:tcW w:w="2374" w:type="dxa"/>
            <w:tcBorders/>
            <w:vAlign w:val="center"/>
          </w:tcPr>
          <w:p>
            <w:pPr>
              <w:pStyle w:val="TableContents"/>
              <w:bidi w:val="0"/>
              <w:spacing w:before="0" w:after="283"/>
              <w:jc w:val="start"/>
              <w:rPr/>
            </w:pPr>
            <w:r>
              <w:rPr/>
              <w:t xml:space="preserve">Surface Tension: </w:t>
            </w:r>
          </w:p>
        </w:tc>
        <w:tc>
          <w:tcPr>
            <w:tcW w:w="2344" w:type="dxa"/>
            <w:tcBorders/>
            <w:vAlign w:val="center"/>
          </w:tcPr>
          <w:p>
            <w:pPr>
              <w:pStyle w:val="TableContents"/>
              <w:bidi w:val="0"/>
              <w:spacing w:before="0" w:after="283"/>
              <w:jc w:val="start"/>
              <w:rPr/>
            </w:pPr>
            <w:r>
              <w:rPr/>
              <w:t xml:space="preserve">60. 5±7. 0 dyne/cm </w:t>
            </w:r>
          </w:p>
        </w:tc>
      </w:tr>
      <w:tr>
        <w:trPr/>
        <w:tc>
          <w:tcPr>
            <w:tcW w:w="2374" w:type="dxa"/>
            <w:tcBorders/>
            <w:vAlign w:val="center"/>
          </w:tcPr>
          <w:p>
            <w:pPr>
              <w:pStyle w:val="TableContents"/>
              <w:bidi w:val="0"/>
              <w:spacing w:before="0" w:after="283"/>
              <w:jc w:val="start"/>
              <w:rPr/>
            </w:pPr>
            <w:r>
              <w:rPr/>
              <w:t xml:space="preserve">Molar Volume: </w:t>
            </w:r>
          </w:p>
        </w:tc>
        <w:tc>
          <w:tcPr>
            <w:tcW w:w="2344" w:type="dxa"/>
            <w:tcBorders/>
            <w:vAlign w:val="center"/>
          </w:tcPr>
          <w:p>
            <w:pPr>
              <w:pStyle w:val="TableContents"/>
              <w:bidi w:val="0"/>
              <w:spacing w:before="0" w:after="283"/>
              <w:jc w:val="start"/>
              <w:rPr/>
            </w:pPr>
            <w:r>
              <w:rPr/>
              <w:t xml:space="preserve">117. 9±7. 0 cm </w:t>
            </w:r>
            <w:r>
              <w:rPr>
                <w:position w:val="8"/>
                <w:sz w:val="19"/>
              </w:rPr>
              <w:t xml:space="preserve">3 </w:t>
            </w:r>
          </w:p>
        </w:tc>
      </w:tr>
    </w:tbl>
    <w:p>
      <w:pPr>
        <w:pStyle w:val="TextBody"/>
        <w:bidi w:val="0"/>
        <w:spacing w:before="0" w:after="283"/>
        <w:jc w:val="start"/>
        <w:rPr/>
      </w:pPr>
      <w:r>
        <w:rPr/>
        <w:t xml:space="preserve">Predicted data is generated using the US Environmental Protection Agency’s EPISuite™ </w:t>
      </w:r>
    </w:p>
    <w:p>
      <w:pPr>
        <w:pStyle w:val="PreformattedText"/>
        <w:bidi w:val="0"/>
        <w:spacing w:before="0" w:after="0"/>
        <w:jc w:val="start"/>
        <w:rPr/>
      </w:pPr>
      <w:r>
        <w:rPr/>
        <w:t xml:space="preserve">   </w:t>
      </w:r>
      <w:r>
        <w:rPr/>
        <w:t>Log Octanol-Water Partition Coef (SRC): Log Kow (KOWWIN v1. 67 estimate) = -0. 00Log Kow (Exper. database match) = -0. 02Exper. Ref: Hansch, C et al. (1995)Boiling Pt, Melting Pt, Vapor Pressure Estimations (MPBPWIN v1. 42): Boiling Pt (deg C): 357. 30 (Adapted Stein &amp; Brown method)Melting Pt (deg C): 127. 46 (Mean or Weighted MP)VP(mm Hg, 25 deg C): 1. 31E-007 (Modified Grain method)MP (exp database): 160. 5 deg CSubcooled liquid VP: 3. 22E-006 mm Hg (25 deg C, Mod-Grain method)Water Solubility Estimate from Log Kow (WSKOW v1. 41): Water Solubility at 25 deg C (mg/L): 2. 573e+004log Kow used: -0. 02 (expkow database)no-melting pt equation usedWater Sol (Exper. database match) = 9500 mg/L (25 deg C)Exper. Ref: YALKOWSKY, SH &amp; DANNENFELSER, RM (1992)Water Sol Estimate from Fragments: Wat Sol (v1. 01 est) = 3. 2779e+005 mg/LWat Sol (Exper. database match) = 9500. 00Exper. Ref: YALKOWSKY, SH &amp; DANNENFELSER, RM (1992)ECOSAR Class Program (ECOSAR v0. 99h): Class(es) found: ImidazolesHenrys Law Constant (25 deg C) [HENRYWIN v3. 10]: Bond Method : 1. 69E-011 atm-m3/moleGroup Method: IncompleteHenrys LC [VP/WSol estimate using EPI values]: 1. 147E-012 atm-m3/moleLog Octanol-Air Partition Coefficient (25 deg C) [KOAWIN v1. 10]: Log Kow used: -0. 02 (exp database)Log Kaw used: -9. 161 (HenryWin est)Log Koa (KOAWIN v1. 10 estimate): 9. 141Log Koa (experimental database): NoneProbability of Rapid Biodegradation (BIOWIN v4. 10): Biowin1 (Linear Model) : 0. 5744Biowin2 (Non-Linear Model) : 0. 4414Expert Survey Biodegradation Results: Biowin3 (Ultimate Survey Model): 2. 7365 (weeks-months)Biowin4 (Primary Survey Model) : 3. 5533 (days-weeks )MITI Biodegradation Probability: Biowin5 (MITI Linear Model) : 0. 3250Biowin6 (MITI Non-Linear Model): 0. 0739Anaerobic Biodegradation Probability: Biowin7 (Anaerobic Linear Model): 0. 3396Ready Biodegradability Prediction: NOHydrocarbon Biodegradation (BioHCwin v1. 01): Structure incompatible with current estimation method! Sorption to aerosols (25 Dec C)[AEROWIN v1. 00]: Vapor pressure (liquid/subcooled): 0. 000429 Pa (3. 22E-006 mm Hg)Log Koa (Koawin est ): 9. 141Kp (particle/gas partition coef. (m3/ug)): Mackay model : 0. 00699 Octanol/air (Koa) model: 0. 00034 Fraction sorbed to airborne particulates (phi): Junge-Pankow model : 0. 202 Mackay model : 0. 359 Octanol/air (Koa) model: 0. 0265 Atmospheric Oxidation (25 deg C) [AopWin v1. 92]: Hydroxyl Radicals Reaction: OVERALL OH Rate Constant = 9. 3017 E-12 cm3/molecule-secHalf-Life = 1. 150 Days (12-hr day; 1. 5E6 OH/cm3)Half-Life = 13. 799 HrsOzone Reaction: No Ozone Reaction EstimationFraction sorbed to airborne particulates (phi): 0. 28 (Junge, Mackay)Note: the sorbed fraction may be resistant to atmospheric oxidationSoil Adsorption Coefficient (PCKOCWIN v1. 66): Koc : 10Log Koc: 1. 000 Aqueous Base/Acid-Catalyzed Hydrolysis (25 deg C) [HYDROWIN v1. 67]: Rate constants can NOT be estimated for this structure! Bioaccumulation Estimates from Log Kow (BCFWIN v2. 17): Log BCF from regression-based method = 0. 500 (BCF = 3. 162)log Kow used: -0. 02 (expkow database)Volatilization from Water: Henry LC: 1. 69E-011 atm-m3/mole (estimated by Bond SAR Method)Half-Life from Model River: 4. 532E+007 hours (1. 888E+006 days)Half-Life from Model Lake : 4. 944E+008 hours (2. 06E+007 days)Removal In Wastewater Treatment: Total removal: 1. 85 percentTotal biodegradation: 0. 09 percentTotal sludge adsorption: 1. 76 percentTotal to Air: 0. 00 percent(using 10000 hr Bio P, A, S)Level III Fugacity Model: Mass Amount Half-Life Emissions(percent) (hr) (kg/hr)Air 0. 000391 27. 6 1000 Water 45. 8 900 1000 Soil 54. 1 1. 8e+003 1000 Sediment 0. 0887 8. 1e+003 0 Persistence Time: 981 hr</w:t>
      </w:r>
    </w:p>
    <w:p>
      <w:pPr>
        <w:pStyle w:val="PreformattedText"/>
        <w:bidi w:val="0"/>
        <w:spacing w:before="0" w:after="283"/>
        <w:jc w:val="start"/>
        <w:rPr/>
      </w:pPr>
      <w:r>
        <w:rPr/>
        <w:t xml:space="preserve">  </w:t>
      </w:r>
    </w:p>
    <w:p>
      <w:pPr>
        <w:pStyle w:val="TextBody"/>
        <w:bidi w:val="0"/>
        <w:spacing w:before="0" w:after="283"/>
        <w:jc w:val="start"/>
        <w:rPr/>
      </w:pPr>
      <w:r>
        <w:rPr/>
        <w:t xml:space="preserve">Click to predict properties on the Chemicalize site </w:t>
      </w:r>
    </w:p>
    <w:p>
      <w:pPr>
        <w:pStyle w:val="TextBody"/>
        <w:numPr>
          <w:ilvl w:val="0"/>
          <w:numId w:val="4"/>
        </w:numPr>
        <w:tabs>
          <w:tab w:val="clear" w:pos="1134"/>
          <w:tab w:val="left" w:pos="709" w:leader="none"/>
        </w:tabs>
        <w:bidi w:val="0"/>
        <w:spacing w:before="0" w:after="0"/>
        <w:ind w:start="709" w:hanging="283"/>
        <w:jc w:val="start"/>
        <w:rPr/>
      </w:pPr>
      <w:r>
        <w:rPr/>
        <w:t xml:space="preserve">1-Click Docking </w:t>
      </w:r>
    </w:p>
    <w:p>
      <w:pPr>
        <w:pStyle w:val="TextBody"/>
        <w:numPr>
          <w:ilvl w:val="0"/>
          <w:numId w:val="4"/>
        </w:numPr>
        <w:tabs>
          <w:tab w:val="clear" w:pos="1134"/>
          <w:tab w:val="left" w:pos="709" w:leader="none"/>
        </w:tabs>
        <w:bidi w:val="0"/>
        <w:spacing w:before="0" w:after="283"/>
        <w:ind w:start="709" w:hanging="283"/>
        <w:jc w:val="start"/>
        <w:rPr/>
      </w:pPr>
      <w:r>
        <w:rPr/>
        <w:t xml:space="preserve">1-Click Scaffold Hop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https://assignbuster.com/metronidazole-c6h9n3o3-structure/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Metronidazole c6h9n3o3 structure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TableContents">
    <w:name w:val="Table Contents"/>
    <w:basedOn w:val="TextBody"/>
    <w:qFormat/>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PreformattedText">
    <w:name w:val="Preformatted Text"/>
    <w:basedOn w:val="Normal"/>
    <w:qFormat/>
    <w:pPr>
      <w:spacing w:before="0" w:after="0"/>
    </w:pPr>
    <w:rPr>
      <w:rFonts w:ascii="Courier New" w:hAnsi="Courier New" w:eastAsia="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tronidazole-c6h9n3o3-struc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Metronidazole c6h9n3o3 structure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Metronidazole c6h9n3o3 structure</dc:title>
  <dc:subject>Others;</dc:subject>
  <dc:creator>AssignBuster</dc:creator>
  <cp:keywords/>
  <dc:description>5 cm 3 Polarizability 16.2 0.</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