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"https://assignbuster.com/magic-bullet/"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Magic bullet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Magic Bullet The improvement observed in the healthcare system currently is a result of extensive trials that have been made with the intention of improving the drug trials as well as the performance of healthcare professionals. From researches carried in the field of medication, arguably wonder drugs do not exist; often several medications are required along with changes in lifestyle or environment in order to effect clinically vital changes in a patient’s health status. This is also evident with the changing of health professional performance. According to (Davis, Hayanes, Oxman and Thomson 1427), “ many interventions have modest or negligible practical effects when used alone.” However, when used together with other strategies the effects may be not only cumulative, but also significant. Therefore, there are no “ magic bullets” for treatment of health disorders, but there are many interventions that, if employed appropriately, could result to vital improvements in professional practice as well as patient outcomes. </w:t>
        <w:br/>
        <w:t xml:space="preserve">California 30 in 2012 involved the amendment of the California Constitution. Its passage led to the transfer of certain revenues to local governments. Among the beneficiaries were the community colleges that were allocated with 11% of temporary tax revenues (“ Proposition 30 State of California” 1). The allocation of temporary taxes to fund education will have a very significant impact on the students. Apart from enhancing provision of quality education to the students, it will also reduce the burden students used to face in juggling their career. For instance, it is evident that the allocation of funds will result to increase of education resources such as books and laboratory materials in colleges. Additionally, it is evident that the funds will enhance the carrying out of experiments in colleges; it will aid in the lowering the cost of purchasing experimental materials such as reagents. </w:t>
        <w:br/>
        <w:t xml:space="preserve">Works Cited </w:t>
        <w:br/>
        <w:t xml:space="preserve">Proposition 30 State of California. “ Temporary Taxes to Fund Education. Guaranteed Local Public Safety Funding State of California.” (2012): 22 Sep. 2014. Davis, David, Hayanes, B., Oxman, A. and Thomson, M. ary. No Magic Bullets” A System Review of 102 Trials of Interventions to Improve Professional Practice. 15 Nov. 1995.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https://assignbuster.com/magic-bullet/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Magic bullet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Magic bullet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Magic bullet</dc:title>
  <dc:subject>Psychology;</dc:subject>
  <dc:creator>AssignBuster</dc:creator>
  <cp:keywords/>
  <dc:description>Magic Bullet The improvement observed in the healthcare system currently is a result of extensive trials that have been made with the intention of imp...</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