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"https://assignbuster.com/watsons-theory/"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Watsons theory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Lisa demonstrates the cultivation of sensitivity to others because she was willing to hear out what Mr. E had to say. She took the time to recognize his depression and was caring enough to worry about him. She then took it upon herself to listen to the patient and find out what was bothering him. Her desire to due this demonstrates her willingness to assist the patient according to Watson’s theory. </w:t>
        <w:br/>
        <w:t xml:space="preserve">4. The development of a helping-trust relationship </w:t>
        <w:br/>
        <w:t xml:space="preserve">Lisa did a fabulous job of establishing a trusting relationship with Mr. E. Her desire to sit down and take her time to listen to the patient demonstrates immediately to the patient that she cares. This, in turn, allowed Mr. E to open up to her and trust her, and he did divulge his issues to her. This was key in helping the patient, and Lisa was able to successfully establish a feeling of trust in the patient through her own personal concern. </w:t>
        <w:br/>
        <w:t xml:space="preserve">5. The promotion and acceptance of the expression of positive and negative feelings </w:t>
        <w:br/>
        <w:t xml:space="preserve">Lisa was able to accept the positive and negative feelings expressed by the client and did what she could to overcome the negative feelings. Her ability to arrange for a visit between the dog and the patient allowed her to open up the door to the positive, and thus assisted the patient with gaining a solid feeling of positive hope. </w:t>
        <w:br/>
        <w:t xml:space="preserve">6. The systematic use of the scientific problem-solving methods for decision making </w:t>
        <w:br/>
        <w:t xml:space="preserve">Lisa used problem-solving methods in figuring out how to cheer up the patient. By arranging for her patient to visit his dog, she was able to overcome the initial problem and allow the patient to feel much more inspired. </w:t>
        <w:br/>
        <w:t xml:space="preserve">7. Transpersonal teaching-learning. </w:t>
        <w:br/>
        <w:t xml:space="preserve">Lisa took the time to learn what the problem was with Mr. E. By doing this, she was able to utilize her problem-solving skills and assist her patient with overcoming his depression. </w:t>
        <w:br/>
        <w:t xml:space="preserve">8. The provision for a supportive, protective, and corrective mental, physical, sociocultural, and spiritual environment </w:t>
        <w:br/>
        <w:t xml:space="preserve">Lisa was able to provide a supportive mental framework for the patient by both talking to him and arranging a visit from the dog. This approach allowed the patient to overcome his depressed feelings. </w:t>
        <w:br/>
        <w:t xml:space="preserve">9. Assistance with the gratification of human needs </w:t>
        <w:br/>
        <w:t xml:space="preserve">Lisa did a fantastic job of gratifying human needs by responding to Mr. E’s need to see his dog and arranging for the visit. </w:t>
        <w:br/>
        <w:t xml:space="preserve">10. Allowance for existential-phenomenological forces </w:t>
        <w:br/>
        <w:t xml:space="preserve">By arranging for the dog to be brought in, Lisa did a fantastic job of allowing for existential-phenomenological forces.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https://assignbuster.com/watsons-theory/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Watsons theory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Watsons theory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Watsons theory</dc:title>
  <dc:subject>Sociology;</dc:subject>
  <dc:creator>AssignBuster</dc:creator>
  <cp:keywords/>
  <dc:description>By arranging for her patient to visit his dog, she was able to overcome the initial problem and allow the patient to feel much more inspired.7.</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