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numPr>
          <w:ilvl w:val="0"/>
          <w:numId w:val="2"/>
        </w:numPr>
        <w:tabs>
          <w:tab w:val="clear" w:pos="1134"/>
          <w:tab w:val="left" w:pos="707" w:leader="none"/>
        </w:tabs>
        <w:bidi w:val="0"/>
        <w:spacing w:before="0" w:after="0"/>
        <w:ind w:start="707" w:hanging="283"/>
        <w:jc w:val="start"/>
        <w:rPr/>
      </w:pPr>
      <w:r>
        <w:rPr/>
        <w:t xml:space="preserve">Should Main Lines maximum and minimum lost profit amounts be revised downward for the following? Why? The domestic distribution revenues of $3 million because the deal had not been finalized </w:t>
      </w:r>
    </w:p>
    <w:p>
      <w:pPr>
        <w:pStyle w:val="TextBody"/>
        <w:numPr>
          <w:ilvl w:val="0"/>
          <w:numId w:val="2"/>
        </w:numPr>
        <w:tabs>
          <w:tab w:val="clear" w:pos="1134"/>
          <w:tab w:val="left" w:pos="707" w:leader="none"/>
        </w:tabs>
        <w:bidi w:val="0"/>
        <w:ind w:start="707" w:hanging="283"/>
        <w:jc w:val="start"/>
        <w:rPr/>
      </w:pPr>
      <w:r>
        <w:rPr/>
        <w:t xml:space="preserve">Even if the deal on the projected domestic sales of $3 million had not been materialized, it is not proper to reduce the maximum and minimum lost profit of Main Line. Though the domestic deal was not finalized when Basinger withdrew from the contract, it does not mean that it will not have domestic sales. In fact, one of the partners had advanced to Main Line Pictures, Inc. the amount of $1. 7 million against domestic revenues to help cover production costs on the Fenn film. </w:t>
      </w:r>
    </w:p>
    <w:p>
      <w:pPr>
        <w:pStyle w:val="TextBody"/>
        <w:bidi w:val="0"/>
        <w:jc w:val="start"/>
        <w:rPr/>
      </w:pPr>
      <w:r>
        <w:rPr/>
        <w:t xml:space="preserve">The $800, 000 of foreign pre-sales because they were ‘ probable’ not actual. </w:t>
      </w:r>
    </w:p>
    <w:p>
      <w:pPr>
        <w:pStyle w:val="TextBody"/>
        <w:bidi w:val="0"/>
        <w:spacing w:before="0" w:after="283"/>
        <w:jc w:val="start"/>
        <w:rPr/>
      </w:pPr>
      <w:r>
        <w:rPr/>
        <w:t xml:space="preserve">No, the foreign pre-sales should not be lowered down by $800, 000 because they were probable not actual. As testified by Mr. Wilde, the foreign pre-sales market has greater market efficiency. </w:t>
      </w:r>
    </w:p>
    <w:p>
      <w:pPr>
        <w:pStyle w:val="TextBody"/>
        <w:bidi w:val="0"/>
        <w:spacing w:before="0" w:after="283"/>
        <w:jc w:val="start"/>
        <w:rPr/>
      </w:pPr>
      <w:r>
        <w:rPr/>
        <w:t xml:space="preserve">2. The loss of $2. 1 million on the ‘ Without Basinger’ film. </w:t>
      </w:r>
    </w:p>
    <w:p>
      <w:pPr>
        <w:pStyle w:val="TextBody"/>
        <w:bidi w:val="0"/>
        <w:spacing w:before="0" w:after="283"/>
        <w:jc w:val="start"/>
        <w:rPr/>
      </w:pPr>
      <w:r>
        <w:rPr/>
        <w:t xml:space="preserve">No. It is because the film without Basinger did not suffer a loss. Based on the gross revenue from foreign pre-sales alone of P2. 7 million less costs and expenses of $2 million resulted to a gross profit of $0. 7 million. The estimated cost and expenses was computed by deducting $2. 8 million on the total budget for costs and expenses of $4. 8 million of the film with Basinger. Carl Mazzocone had stated under oath the $2. 8 million difference between the two productions budgets for the film, ‘ Boxing Helena’ with or without Basinger. </w:t>
      </w:r>
    </w:p>
    <w:p>
      <w:pPr>
        <w:pStyle w:val="TextBody"/>
        <w:numPr>
          <w:ilvl w:val="0"/>
          <w:numId w:val="3"/>
        </w:numPr>
        <w:tabs>
          <w:tab w:val="clear" w:pos="1134"/>
          <w:tab w:val="left" w:pos="707" w:leader="none"/>
        </w:tabs>
        <w:bidi w:val="0"/>
        <w:ind w:start="707" w:hanging="283"/>
        <w:jc w:val="start"/>
        <w:rPr/>
      </w:pPr>
      <w:r>
        <w:rPr/>
        <w:t xml:space="preserve">Are the following relevant to the determination of lost profits to Main Line? Why? </w:t>
      </w:r>
    </w:p>
    <w:p>
      <w:pPr>
        <w:pStyle w:val="TextBody"/>
        <w:numPr>
          <w:ilvl w:val="0"/>
          <w:numId w:val="4"/>
        </w:numPr>
        <w:tabs>
          <w:tab w:val="clear" w:pos="1134"/>
          <w:tab w:val="left" w:pos="707" w:leader="none"/>
        </w:tabs>
        <w:bidi w:val="0"/>
        <w:ind w:start="707" w:hanging="283"/>
        <w:jc w:val="start"/>
        <w:rPr/>
      </w:pPr>
      <w:r>
        <w:rPr/>
        <w:t xml:space="preserve">Basinger’s $3million salary for ‘ Final Analysis’. </w:t>
      </w:r>
    </w:p>
    <w:p>
      <w:pPr>
        <w:pStyle w:val="TextBody"/>
        <w:bidi w:val="0"/>
        <w:jc w:val="start"/>
        <w:rPr/>
      </w:pPr>
      <w:r>
        <w:rPr/>
        <w:t xml:space="preserve">No. the $3 million salary of Ms. Kim Basinger for ‘ Final Analysis’ has nothing to do with the determination of lost profits to Main Line. It is because it could not be part of the budgeted costs and expenses to the projected total sales of ‘ Boxing Helena’ with Basinger as the main actress. Had Basinger demanded for a raise on her fee with Main Line from $1million to $3million before she withdrew from the contract then it would be different. Then $3million salary demanded by Basinger could be an opportunity cost for Main Line. However, the situation was different. Main Line was not given by Basinger the option to choose to pay her the $3million salary. Ms. Basinger simply cancelled the contract. </w:t>
      </w:r>
    </w:p>
    <w:p>
      <w:pPr>
        <w:pStyle w:val="TextBody"/>
        <w:numPr>
          <w:ilvl w:val="0"/>
          <w:numId w:val="5"/>
        </w:numPr>
        <w:tabs>
          <w:tab w:val="clear" w:pos="1134"/>
          <w:tab w:val="left" w:pos="707" w:leader="none"/>
        </w:tabs>
        <w:bidi w:val="0"/>
        <w:ind w:start="707" w:hanging="283"/>
        <w:jc w:val="start"/>
        <w:rPr/>
      </w:pPr>
      <w:r>
        <w:rPr/>
        <w:t xml:space="preserve">The comparison of revenue for Basinger films with revenues for Fenn films. </w:t>
      </w:r>
    </w:p>
    <w:p>
      <w:pPr>
        <w:pStyle w:val="TextBody"/>
        <w:bidi w:val="0"/>
        <w:jc w:val="start"/>
        <w:rPr/>
      </w:pPr>
      <w:r>
        <w:rPr/>
        <w:t xml:space="preserve">Yes, because if there is no comparison of revenue for Basinger films with revenues for Fenn films, Main Line could not support its allegation that Kim Basinger had caused thefailureon their targeted gross sales. </w:t>
      </w:r>
    </w:p>
    <w:p>
      <w:pPr>
        <w:pStyle w:val="TextBody"/>
        <w:numPr>
          <w:ilvl w:val="0"/>
          <w:numId w:val="6"/>
        </w:numPr>
        <w:tabs>
          <w:tab w:val="clear" w:pos="1134"/>
          <w:tab w:val="left" w:pos="707" w:leader="none"/>
        </w:tabs>
        <w:bidi w:val="0"/>
        <w:ind w:start="707" w:hanging="283"/>
        <w:jc w:val="start"/>
        <w:rPr/>
      </w:pPr>
      <w:r>
        <w:rPr/>
        <w:t xml:space="preserve">Is plaintiff’s expert correct in not attempting to estimate revenues for ‘ Boxing Helena’ beyond pre-sale amounts? Why? </w:t>
      </w:r>
    </w:p>
    <w:p>
      <w:pPr>
        <w:pStyle w:val="TextBody"/>
        <w:bidi w:val="0"/>
        <w:jc w:val="start"/>
        <w:rPr/>
      </w:pPr>
      <w:r>
        <w:rPr/>
        <w:t xml:space="preserve">The plaintiff’s expert, Prof. Louis L. Wilde, Ph. D. professor of economics and consultant was right in not attempting to estimate revenues for ‘ Boxing Helena’ beyond pre-sale amounts. It is just right and easier to compare the expected sales of Main Line with Basinger to what Main Line had made on the same package with out Basinger. The projected sales of the films with Basinger are limited to the revenue on pre-sales only. Therefore, it is just realistic to compare it with the proceeds of the ‘ Boxing Helena’ films with out Basinger on the same criteria. </w:t>
      </w:r>
    </w:p>
    <w:p>
      <w:pPr>
        <w:pStyle w:val="TextBody"/>
        <w:numPr>
          <w:ilvl w:val="0"/>
          <w:numId w:val="7"/>
        </w:numPr>
        <w:tabs>
          <w:tab w:val="clear" w:pos="1134"/>
          <w:tab w:val="left" w:pos="707" w:leader="none"/>
        </w:tabs>
        <w:bidi w:val="0"/>
        <w:ind w:start="707" w:hanging="283"/>
        <w:jc w:val="start"/>
        <w:rPr/>
      </w:pPr>
      <w:r>
        <w:rPr/>
        <w:t xml:space="preserve">Should Main Lines lost profits be adjusted downward to include an estimate of domestic revenues for the ‘ Without Basinger’ film? Would it have been valid to use the $1. 7 million advance against domestic revenues as the estimate? Explain. </w:t>
      </w:r>
    </w:p>
    <w:p>
      <w:pPr>
        <w:pStyle w:val="TextBody"/>
        <w:bidi w:val="0"/>
        <w:jc w:val="start"/>
        <w:rPr/>
      </w:pPr>
      <w:r>
        <w:rPr/>
        <w:t xml:space="preserve">The lost profits should be adjusted downward to include an estimate of domestic revenues for the ‘ Without Basinger’ film. It is certain that the film without Basinger will have domestic sales and that would contribute to the realization of its projected profits. It is also valid to use the amount of $1. 7 million advance against domestic revenues as the estimate because at the time when Basinger withdrew from the contract, the domestic distribution sale was not yet concluded. We could use the amount of $1. 7 million because we could consider that as the amount for domestic sales. </w:t>
      </w:r>
    </w:p>
    <w:p>
      <w:pPr>
        <w:pStyle w:val="TextBody"/>
        <w:numPr>
          <w:ilvl w:val="0"/>
          <w:numId w:val="8"/>
        </w:numPr>
        <w:tabs>
          <w:tab w:val="clear" w:pos="1134"/>
          <w:tab w:val="left" w:pos="707" w:leader="none"/>
        </w:tabs>
        <w:bidi w:val="0"/>
        <w:ind w:start="707" w:hanging="283"/>
        <w:jc w:val="start"/>
        <w:rPr/>
      </w:pPr>
      <w:r>
        <w:rPr/>
        <w:t xml:space="preserve">Suppose Basinger had remained with the film and assume the $3 million profit shown in the plaintiff experts minimum damage calculation was correct. Is it reasonable to assume that Main Lines pretax cash position would have increased by $3million or would some part of this have been paid to others? Why? </w:t>
      </w:r>
    </w:p>
    <w:p>
      <w:pPr>
        <w:pStyle w:val="TextBody"/>
        <w:bidi w:val="0"/>
        <w:jc w:val="start"/>
        <w:rPr/>
      </w:pPr>
      <w:r>
        <w:rPr/>
        <w:t xml:space="preserve">It would be more reasonable to assume that some part of this $3 million </w:t>
      </w:r>
    </w:p>
    <w:p>
      <w:pPr>
        <w:pStyle w:val="TextBody"/>
        <w:bidi w:val="0"/>
        <w:spacing w:before="0" w:after="283"/>
        <w:jc w:val="start"/>
        <w:rPr/>
      </w:pPr>
      <w:r>
        <w:rPr/>
        <w:t xml:space="preserve">increase to Main Lines cash position would be paid to others. It is not unusual that there would be contractual arrangements that would require for the producer to distribute net profits or revenues with main talents, directors and others. Common overhead costs also will be allocated to the individual film projects. There would be no problem for producer who may only make not more than two films a year than those who come up with several films.. </w:t>
      </w:r>
    </w:p>
    <w:p>
      <w:pPr>
        <w:pStyle w:val="TextBody"/>
        <w:numPr>
          <w:ilvl w:val="0"/>
          <w:numId w:val="9"/>
        </w:numPr>
        <w:tabs>
          <w:tab w:val="clear" w:pos="1134"/>
          <w:tab w:val="left" w:pos="707" w:leader="none"/>
        </w:tabs>
        <w:bidi w:val="0"/>
        <w:ind w:start="707" w:hanging="283"/>
        <w:jc w:val="start"/>
        <w:rPr/>
      </w:pPr>
      <w:r>
        <w:rPr/>
        <w:t xml:space="preserve">If you disagree with the jury’s lost profit assessment, briefly prepare one of your own. </w:t>
      </w:r>
    </w:p>
    <w:tbl>
      <w:tblPr>
        <w:tblW w:w="10155" w:type="dxa"/>
        <w:jc w:val="start"/>
        <w:tblInd w:w="0" w:type="dxa"/>
        <w:tblLayout w:type="fixed"/>
        <w:tblCellMar>
          <w:top w:w="28" w:type="dxa"/>
          <w:start w:w="28" w:type="dxa"/>
          <w:bottom w:w="28" w:type="dxa"/>
          <w:end w:w="28" w:type="dxa"/>
        </w:tblCellMar>
      </w:tblPr>
      <w:tblGrid>
        <w:gridCol w:w="3475"/>
        <w:gridCol w:w="1631"/>
        <w:gridCol w:w="837"/>
        <w:gridCol w:w="1631"/>
        <w:gridCol w:w="837"/>
        <w:gridCol w:w="1741"/>
      </w:tblGrid>
      <w:tr>
        <w:trPr/>
        <w:tc>
          <w:tcPr>
            <w:tcW w:w="3475" w:type="dxa"/>
            <w:tcBorders/>
            <w:vAlign w:val="center"/>
          </w:tcPr>
          <w:p>
            <w:pPr>
              <w:pStyle w:val="TableContents"/>
              <w:bidi w:val="0"/>
              <w:spacing w:before="0" w:after="283"/>
              <w:jc w:val="start"/>
              <w:rPr>
                <w:sz w:val="4"/>
                <w:szCs w:val="4"/>
              </w:rPr>
            </w:pPr>
            <w:r>
              <w:rPr>
                <w:sz w:val="4"/>
                <w:szCs w:val="4"/>
              </w:rPr>
            </w:r>
          </w:p>
        </w:tc>
        <w:tc>
          <w:tcPr>
            <w:tcW w:w="1631" w:type="dxa"/>
            <w:tcBorders/>
            <w:vAlign w:val="center"/>
          </w:tcPr>
          <w:p>
            <w:pPr>
              <w:pStyle w:val="TableContents"/>
              <w:bidi w:val="0"/>
              <w:spacing w:before="0" w:after="283"/>
              <w:jc w:val="start"/>
              <w:rPr/>
            </w:pPr>
            <w:r>
              <w:rPr/>
              <w:t xml:space="preserve">WITH </w:t>
            </w:r>
          </w:p>
        </w:tc>
        <w:tc>
          <w:tcPr>
            <w:tcW w:w="837" w:type="dxa"/>
            <w:tcBorders/>
            <w:vAlign w:val="center"/>
          </w:tcPr>
          <w:p>
            <w:pPr>
              <w:pStyle w:val="TableContents"/>
              <w:bidi w:val="0"/>
              <w:spacing w:before="0" w:after="283"/>
              <w:jc w:val="start"/>
              <w:rPr>
                <w:sz w:val="4"/>
                <w:szCs w:val="4"/>
              </w:rPr>
            </w:pPr>
            <w:r>
              <w:rPr>
                <w:sz w:val="4"/>
                <w:szCs w:val="4"/>
              </w:rPr>
            </w:r>
          </w:p>
        </w:tc>
        <w:tc>
          <w:tcPr>
            <w:tcW w:w="1631" w:type="dxa"/>
            <w:tcBorders/>
            <w:vAlign w:val="center"/>
          </w:tcPr>
          <w:p>
            <w:pPr>
              <w:pStyle w:val="TableContents"/>
              <w:bidi w:val="0"/>
              <w:spacing w:before="0" w:after="283"/>
              <w:jc w:val="start"/>
              <w:rPr/>
            </w:pPr>
            <w:r>
              <w:rPr/>
              <w:t xml:space="preserve">WITHOUT </w:t>
            </w:r>
          </w:p>
        </w:tc>
        <w:tc>
          <w:tcPr>
            <w:tcW w:w="837" w:type="dxa"/>
            <w:tcBorders/>
            <w:vAlign w:val="center"/>
          </w:tcPr>
          <w:p>
            <w:pPr>
              <w:pStyle w:val="TableContents"/>
              <w:bidi w:val="0"/>
              <w:spacing w:before="0" w:after="283"/>
              <w:jc w:val="start"/>
              <w:rPr>
                <w:sz w:val="4"/>
                <w:szCs w:val="4"/>
              </w:rPr>
            </w:pPr>
            <w:r>
              <w:rPr>
                <w:sz w:val="4"/>
                <w:szCs w:val="4"/>
              </w:rPr>
            </w:r>
          </w:p>
        </w:tc>
        <w:tc>
          <w:tcPr>
            <w:tcW w:w="1741" w:type="dxa"/>
            <w:tcBorders/>
            <w:vAlign w:val="center"/>
          </w:tcPr>
          <w:p>
            <w:pPr>
              <w:pStyle w:val="TableContents"/>
              <w:bidi w:val="0"/>
              <w:spacing w:before="0" w:after="283"/>
              <w:jc w:val="start"/>
              <w:rPr>
                <w:sz w:val="4"/>
                <w:szCs w:val="4"/>
              </w:rPr>
            </w:pPr>
            <w:r>
              <w:rPr>
                <w:sz w:val="4"/>
                <w:szCs w:val="4"/>
              </w:rPr>
            </w:r>
          </w:p>
        </w:tc>
      </w:tr>
      <w:tr>
        <w:trPr/>
        <w:tc>
          <w:tcPr>
            <w:tcW w:w="3475" w:type="dxa"/>
            <w:tcBorders/>
            <w:vAlign w:val="center"/>
          </w:tcPr>
          <w:p>
            <w:pPr>
              <w:pStyle w:val="TableContents"/>
              <w:bidi w:val="0"/>
              <w:spacing w:before="0" w:after="283"/>
              <w:jc w:val="start"/>
              <w:rPr>
                <w:sz w:val="4"/>
                <w:szCs w:val="4"/>
              </w:rPr>
            </w:pPr>
            <w:r>
              <w:rPr>
                <w:sz w:val="4"/>
                <w:szCs w:val="4"/>
              </w:rPr>
            </w:r>
          </w:p>
        </w:tc>
        <w:tc>
          <w:tcPr>
            <w:tcW w:w="1631" w:type="dxa"/>
            <w:tcBorders/>
            <w:vAlign w:val="center"/>
          </w:tcPr>
          <w:p>
            <w:pPr>
              <w:pStyle w:val="TableContents"/>
              <w:bidi w:val="0"/>
              <w:spacing w:before="0" w:after="283"/>
              <w:jc w:val="start"/>
              <w:rPr/>
            </w:pPr>
            <w:r>
              <w:rPr/>
              <w:t xml:space="preserve">BASINGER </w:t>
            </w:r>
          </w:p>
        </w:tc>
        <w:tc>
          <w:tcPr>
            <w:tcW w:w="837" w:type="dxa"/>
            <w:tcBorders/>
            <w:vAlign w:val="center"/>
          </w:tcPr>
          <w:p>
            <w:pPr>
              <w:pStyle w:val="TableContents"/>
              <w:bidi w:val="0"/>
              <w:spacing w:before="0" w:after="283"/>
              <w:jc w:val="start"/>
              <w:rPr>
                <w:sz w:val="4"/>
                <w:szCs w:val="4"/>
              </w:rPr>
            </w:pPr>
            <w:r>
              <w:rPr>
                <w:sz w:val="4"/>
                <w:szCs w:val="4"/>
              </w:rPr>
            </w:r>
          </w:p>
        </w:tc>
        <w:tc>
          <w:tcPr>
            <w:tcW w:w="1631" w:type="dxa"/>
            <w:tcBorders/>
            <w:vAlign w:val="center"/>
          </w:tcPr>
          <w:p>
            <w:pPr>
              <w:pStyle w:val="TableContents"/>
              <w:bidi w:val="0"/>
              <w:spacing w:before="0" w:after="283"/>
              <w:jc w:val="start"/>
              <w:rPr/>
            </w:pPr>
            <w:r>
              <w:rPr/>
              <w:t xml:space="preserve">BASINGER </w:t>
            </w:r>
          </w:p>
        </w:tc>
        <w:tc>
          <w:tcPr>
            <w:tcW w:w="837" w:type="dxa"/>
            <w:tcBorders/>
            <w:vAlign w:val="center"/>
          </w:tcPr>
          <w:p>
            <w:pPr>
              <w:pStyle w:val="TableContents"/>
              <w:bidi w:val="0"/>
              <w:spacing w:before="0" w:after="283"/>
              <w:jc w:val="start"/>
              <w:rPr>
                <w:sz w:val="4"/>
                <w:szCs w:val="4"/>
              </w:rPr>
            </w:pPr>
            <w:r>
              <w:rPr>
                <w:sz w:val="4"/>
                <w:szCs w:val="4"/>
              </w:rPr>
            </w:r>
          </w:p>
        </w:tc>
        <w:tc>
          <w:tcPr>
            <w:tcW w:w="1741" w:type="dxa"/>
            <w:tcBorders/>
            <w:vAlign w:val="center"/>
          </w:tcPr>
          <w:p>
            <w:pPr>
              <w:pStyle w:val="TableContents"/>
              <w:bidi w:val="0"/>
              <w:spacing w:before="0" w:after="283"/>
              <w:jc w:val="start"/>
              <w:rPr/>
            </w:pPr>
            <w:r>
              <w:rPr/>
              <w:t xml:space="preserve">VARIANCE </w:t>
            </w:r>
          </w:p>
        </w:tc>
      </w:tr>
      <w:tr>
        <w:trPr/>
        <w:tc>
          <w:tcPr>
            <w:tcW w:w="3475" w:type="dxa"/>
            <w:tcBorders/>
            <w:vAlign w:val="center"/>
          </w:tcPr>
          <w:p>
            <w:pPr>
              <w:pStyle w:val="TableContents"/>
              <w:bidi w:val="0"/>
              <w:spacing w:before="0" w:after="283"/>
              <w:jc w:val="start"/>
              <w:rPr>
                <w:sz w:val="4"/>
                <w:szCs w:val="4"/>
              </w:rPr>
            </w:pPr>
            <w:r>
              <w:rPr>
                <w:sz w:val="4"/>
                <w:szCs w:val="4"/>
              </w:rPr>
            </w:r>
          </w:p>
        </w:tc>
        <w:tc>
          <w:tcPr>
            <w:tcW w:w="1631" w:type="dxa"/>
            <w:tcBorders/>
            <w:vAlign w:val="center"/>
          </w:tcPr>
          <w:p>
            <w:pPr>
              <w:pStyle w:val="TableContents"/>
              <w:bidi w:val="0"/>
              <w:spacing w:before="0" w:after="283"/>
              <w:jc w:val="start"/>
              <w:rPr/>
            </w:pPr>
            <w:r>
              <w:rPr/>
              <w:t xml:space="preserve">In Million $ </w:t>
            </w:r>
          </w:p>
        </w:tc>
        <w:tc>
          <w:tcPr>
            <w:tcW w:w="837" w:type="dxa"/>
            <w:tcBorders/>
            <w:vAlign w:val="center"/>
          </w:tcPr>
          <w:p>
            <w:pPr>
              <w:pStyle w:val="TableContents"/>
              <w:bidi w:val="0"/>
              <w:spacing w:before="0" w:after="283"/>
              <w:jc w:val="start"/>
              <w:rPr>
                <w:sz w:val="4"/>
                <w:szCs w:val="4"/>
              </w:rPr>
            </w:pPr>
            <w:r>
              <w:rPr>
                <w:sz w:val="4"/>
                <w:szCs w:val="4"/>
              </w:rPr>
            </w:r>
          </w:p>
        </w:tc>
        <w:tc>
          <w:tcPr>
            <w:tcW w:w="1631" w:type="dxa"/>
            <w:tcBorders/>
            <w:vAlign w:val="center"/>
          </w:tcPr>
          <w:p>
            <w:pPr>
              <w:pStyle w:val="TableContents"/>
              <w:bidi w:val="0"/>
              <w:spacing w:before="0" w:after="283"/>
              <w:jc w:val="start"/>
              <w:rPr/>
            </w:pPr>
            <w:r>
              <w:rPr/>
              <w:t xml:space="preserve">In Million $ </w:t>
            </w:r>
          </w:p>
        </w:tc>
        <w:tc>
          <w:tcPr>
            <w:tcW w:w="837" w:type="dxa"/>
            <w:tcBorders/>
            <w:vAlign w:val="center"/>
          </w:tcPr>
          <w:p>
            <w:pPr>
              <w:pStyle w:val="TableContents"/>
              <w:bidi w:val="0"/>
              <w:spacing w:before="0" w:after="283"/>
              <w:jc w:val="start"/>
              <w:rPr>
                <w:sz w:val="4"/>
                <w:szCs w:val="4"/>
              </w:rPr>
            </w:pPr>
            <w:r>
              <w:rPr>
                <w:sz w:val="4"/>
                <w:szCs w:val="4"/>
              </w:rPr>
            </w:r>
          </w:p>
        </w:tc>
        <w:tc>
          <w:tcPr>
            <w:tcW w:w="1741" w:type="dxa"/>
            <w:tcBorders/>
            <w:vAlign w:val="center"/>
          </w:tcPr>
          <w:p>
            <w:pPr>
              <w:pStyle w:val="TableContents"/>
              <w:bidi w:val="0"/>
              <w:spacing w:before="0" w:after="283"/>
              <w:jc w:val="start"/>
              <w:rPr/>
            </w:pPr>
            <w:r>
              <w:rPr/>
              <w:t xml:space="preserve">In Million $ </w:t>
            </w:r>
          </w:p>
        </w:tc>
      </w:tr>
      <w:tr>
        <w:trPr/>
        <w:tc>
          <w:tcPr>
            <w:tcW w:w="3475" w:type="dxa"/>
            <w:tcBorders/>
            <w:vAlign w:val="center"/>
          </w:tcPr>
          <w:p>
            <w:pPr>
              <w:pStyle w:val="TableContents"/>
              <w:bidi w:val="0"/>
              <w:spacing w:before="0" w:after="283"/>
              <w:jc w:val="start"/>
              <w:rPr/>
            </w:pPr>
            <w:r>
              <w:rPr/>
              <w:t xml:space="preserve">Potential domestic sales </w:t>
            </w:r>
          </w:p>
        </w:tc>
        <w:tc>
          <w:tcPr>
            <w:tcW w:w="1631" w:type="dxa"/>
            <w:tcBorders/>
            <w:vAlign w:val="center"/>
          </w:tcPr>
          <w:p>
            <w:pPr>
              <w:pStyle w:val="TableContents"/>
              <w:bidi w:val="0"/>
              <w:spacing w:before="0" w:after="283"/>
              <w:jc w:val="start"/>
              <w:rPr/>
            </w:pPr>
            <w:r>
              <w:rPr/>
              <w:t xml:space="preserve">7. 60 </w:t>
            </w:r>
          </w:p>
        </w:tc>
        <w:tc>
          <w:tcPr>
            <w:tcW w:w="837" w:type="dxa"/>
            <w:tcBorders/>
            <w:vAlign w:val="center"/>
          </w:tcPr>
          <w:p>
            <w:pPr>
              <w:pStyle w:val="TableContents"/>
              <w:bidi w:val="0"/>
              <w:spacing w:before="0" w:after="283"/>
              <w:jc w:val="start"/>
              <w:rPr>
                <w:sz w:val="4"/>
                <w:szCs w:val="4"/>
              </w:rPr>
            </w:pPr>
            <w:r>
              <w:rPr>
                <w:sz w:val="4"/>
                <w:szCs w:val="4"/>
              </w:rPr>
            </w:r>
          </w:p>
        </w:tc>
        <w:tc>
          <w:tcPr>
            <w:tcW w:w="1631" w:type="dxa"/>
            <w:tcBorders/>
            <w:vAlign w:val="center"/>
          </w:tcPr>
          <w:p>
            <w:pPr>
              <w:pStyle w:val="TableContents"/>
              <w:bidi w:val="0"/>
              <w:spacing w:before="0" w:after="283"/>
              <w:jc w:val="start"/>
              <w:rPr/>
            </w:pPr>
            <w:r>
              <w:rPr/>
              <w:t xml:space="preserve">1. 70 </w:t>
            </w:r>
          </w:p>
        </w:tc>
        <w:tc>
          <w:tcPr>
            <w:tcW w:w="837" w:type="dxa"/>
            <w:tcBorders/>
            <w:vAlign w:val="center"/>
          </w:tcPr>
          <w:p>
            <w:pPr>
              <w:pStyle w:val="TableContents"/>
              <w:bidi w:val="0"/>
              <w:spacing w:before="0" w:after="283"/>
              <w:jc w:val="start"/>
              <w:rPr>
                <w:sz w:val="4"/>
                <w:szCs w:val="4"/>
              </w:rPr>
            </w:pPr>
            <w:r>
              <w:rPr>
                <w:sz w:val="4"/>
                <w:szCs w:val="4"/>
              </w:rPr>
            </w:r>
          </w:p>
        </w:tc>
        <w:tc>
          <w:tcPr>
            <w:tcW w:w="1741" w:type="dxa"/>
            <w:tcBorders/>
            <w:vAlign w:val="center"/>
          </w:tcPr>
          <w:p>
            <w:pPr>
              <w:pStyle w:val="TableContents"/>
              <w:bidi w:val="0"/>
              <w:spacing w:before="0" w:after="283"/>
              <w:jc w:val="start"/>
              <w:rPr/>
            </w:pPr>
            <w:r>
              <w:rPr/>
              <w:t xml:space="preserve">5. 90 </w:t>
            </w:r>
          </w:p>
        </w:tc>
      </w:tr>
      <w:tr>
        <w:trPr/>
        <w:tc>
          <w:tcPr>
            <w:tcW w:w="3475" w:type="dxa"/>
            <w:tcBorders/>
            <w:vAlign w:val="center"/>
          </w:tcPr>
          <w:p>
            <w:pPr>
              <w:pStyle w:val="TableContents"/>
              <w:bidi w:val="0"/>
              <w:spacing w:before="0" w:after="283"/>
              <w:jc w:val="start"/>
              <w:rPr/>
            </w:pPr>
            <w:r>
              <w:rPr/>
              <w:t xml:space="preserve">Foreign pre-sale </w:t>
            </w:r>
          </w:p>
        </w:tc>
        <w:tc>
          <w:tcPr>
            <w:tcW w:w="1631" w:type="dxa"/>
            <w:tcBorders/>
            <w:vAlign w:val="center"/>
          </w:tcPr>
          <w:p>
            <w:pPr>
              <w:pStyle w:val="TableContents"/>
              <w:bidi w:val="0"/>
              <w:spacing w:before="0" w:after="283"/>
              <w:jc w:val="start"/>
              <w:rPr/>
            </w:pPr>
            <w:r>
              <w:rPr/>
              <w:t xml:space="preserve">7. 60 </w:t>
            </w:r>
          </w:p>
        </w:tc>
        <w:tc>
          <w:tcPr>
            <w:tcW w:w="837" w:type="dxa"/>
            <w:tcBorders/>
            <w:vAlign w:val="center"/>
          </w:tcPr>
          <w:p>
            <w:pPr>
              <w:pStyle w:val="TableContents"/>
              <w:bidi w:val="0"/>
              <w:spacing w:before="0" w:after="283"/>
              <w:jc w:val="start"/>
              <w:rPr>
                <w:sz w:val="4"/>
                <w:szCs w:val="4"/>
              </w:rPr>
            </w:pPr>
            <w:r>
              <w:rPr>
                <w:sz w:val="4"/>
                <w:szCs w:val="4"/>
              </w:rPr>
            </w:r>
          </w:p>
        </w:tc>
        <w:tc>
          <w:tcPr>
            <w:tcW w:w="1631" w:type="dxa"/>
            <w:tcBorders/>
            <w:vAlign w:val="center"/>
          </w:tcPr>
          <w:p>
            <w:pPr>
              <w:pStyle w:val="TableContents"/>
              <w:bidi w:val="0"/>
              <w:spacing w:before="0" w:after="283"/>
              <w:jc w:val="start"/>
              <w:rPr/>
            </w:pPr>
            <w:r>
              <w:rPr/>
              <w:t xml:space="preserve">2. 70 </w:t>
            </w:r>
          </w:p>
        </w:tc>
        <w:tc>
          <w:tcPr>
            <w:tcW w:w="837" w:type="dxa"/>
            <w:tcBorders/>
            <w:vAlign w:val="center"/>
          </w:tcPr>
          <w:p>
            <w:pPr>
              <w:pStyle w:val="TableContents"/>
              <w:bidi w:val="0"/>
              <w:spacing w:before="0" w:after="283"/>
              <w:jc w:val="start"/>
              <w:rPr>
                <w:sz w:val="4"/>
                <w:szCs w:val="4"/>
              </w:rPr>
            </w:pPr>
            <w:r>
              <w:rPr>
                <w:sz w:val="4"/>
                <w:szCs w:val="4"/>
              </w:rPr>
            </w:r>
          </w:p>
        </w:tc>
        <w:tc>
          <w:tcPr>
            <w:tcW w:w="1741" w:type="dxa"/>
            <w:tcBorders/>
            <w:vAlign w:val="center"/>
          </w:tcPr>
          <w:p>
            <w:pPr>
              <w:pStyle w:val="TableContents"/>
              <w:bidi w:val="0"/>
              <w:spacing w:before="0" w:after="283"/>
              <w:jc w:val="start"/>
              <w:rPr/>
            </w:pPr>
            <w:r>
              <w:rPr/>
              <w:t xml:space="preserve">4. 90 </w:t>
            </w:r>
          </w:p>
        </w:tc>
      </w:tr>
      <w:tr>
        <w:trPr/>
        <w:tc>
          <w:tcPr>
            <w:tcW w:w="3475" w:type="dxa"/>
            <w:tcBorders/>
            <w:vAlign w:val="center"/>
          </w:tcPr>
          <w:p>
            <w:pPr>
              <w:pStyle w:val="TableContents"/>
              <w:bidi w:val="0"/>
              <w:spacing w:before="0" w:after="283"/>
              <w:jc w:val="start"/>
              <w:rPr/>
            </w:pPr>
            <w:r>
              <w:rPr/>
              <w:t xml:space="preserve">Total sales </w:t>
            </w:r>
          </w:p>
        </w:tc>
        <w:tc>
          <w:tcPr>
            <w:tcW w:w="1631" w:type="dxa"/>
            <w:tcBorders/>
            <w:vAlign w:val="center"/>
          </w:tcPr>
          <w:p>
            <w:pPr>
              <w:pStyle w:val="TableContents"/>
              <w:bidi w:val="0"/>
              <w:spacing w:before="0" w:after="283"/>
              <w:jc w:val="start"/>
              <w:rPr/>
            </w:pPr>
            <w:r>
              <w:rPr/>
              <w:t xml:space="preserve">15. 20 </w:t>
            </w:r>
          </w:p>
        </w:tc>
        <w:tc>
          <w:tcPr>
            <w:tcW w:w="837" w:type="dxa"/>
            <w:tcBorders/>
            <w:vAlign w:val="center"/>
          </w:tcPr>
          <w:p>
            <w:pPr>
              <w:pStyle w:val="TableContents"/>
              <w:bidi w:val="0"/>
              <w:spacing w:before="0" w:after="283"/>
              <w:jc w:val="start"/>
              <w:rPr>
                <w:sz w:val="4"/>
                <w:szCs w:val="4"/>
              </w:rPr>
            </w:pPr>
            <w:r>
              <w:rPr>
                <w:sz w:val="4"/>
                <w:szCs w:val="4"/>
              </w:rPr>
            </w:r>
          </w:p>
        </w:tc>
        <w:tc>
          <w:tcPr>
            <w:tcW w:w="1631" w:type="dxa"/>
            <w:tcBorders/>
            <w:vAlign w:val="center"/>
          </w:tcPr>
          <w:p>
            <w:pPr>
              <w:pStyle w:val="TableContents"/>
              <w:bidi w:val="0"/>
              <w:spacing w:before="0" w:after="283"/>
              <w:jc w:val="start"/>
              <w:rPr/>
            </w:pPr>
            <w:r>
              <w:rPr/>
              <w:t xml:space="preserve">4. 40 </w:t>
            </w:r>
          </w:p>
        </w:tc>
        <w:tc>
          <w:tcPr>
            <w:tcW w:w="837" w:type="dxa"/>
            <w:tcBorders/>
            <w:vAlign w:val="center"/>
          </w:tcPr>
          <w:p>
            <w:pPr>
              <w:pStyle w:val="TableContents"/>
              <w:bidi w:val="0"/>
              <w:spacing w:before="0" w:after="283"/>
              <w:jc w:val="start"/>
              <w:rPr>
                <w:sz w:val="4"/>
                <w:szCs w:val="4"/>
              </w:rPr>
            </w:pPr>
            <w:r>
              <w:rPr>
                <w:sz w:val="4"/>
                <w:szCs w:val="4"/>
              </w:rPr>
            </w:r>
          </w:p>
        </w:tc>
        <w:tc>
          <w:tcPr>
            <w:tcW w:w="1741" w:type="dxa"/>
            <w:tcBorders/>
            <w:vAlign w:val="center"/>
          </w:tcPr>
          <w:p>
            <w:pPr>
              <w:pStyle w:val="TableContents"/>
              <w:bidi w:val="0"/>
              <w:spacing w:before="0" w:after="283"/>
              <w:jc w:val="start"/>
              <w:rPr/>
            </w:pPr>
            <w:r>
              <w:rPr/>
              <w:t xml:space="preserve">10. 80 </w:t>
            </w:r>
          </w:p>
        </w:tc>
      </w:tr>
      <w:tr>
        <w:trPr/>
        <w:tc>
          <w:tcPr>
            <w:tcW w:w="3475" w:type="dxa"/>
            <w:tcBorders/>
            <w:vAlign w:val="center"/>
          </w:tcPr>
          <w:p>
            <w:pPr>
              <w:pStyle w:val="TableContents"/>
              <w:bidi w:val="0"/>
              <w:spacing w:before="0" w:after="283"/>
              <w:jc w:val="start"/>
              <w:rPr>
                <w:sz w:val="4"/>
                <w:szCs w:val="4"/>
              </w:rPr>
            </w:pPr>
            <w:r>
              <w:rPr>
                <w:sz w:val="4"/>
                <w:szCs w:val="4"/>
              </w:rPr>
            </w:r>
          </w:p>
        </w:tc>
        <w:tc>
          <w:tcPr>
            <w:tcW w:w="1631" w:type="dxa"/>
            <w:tcBorders/>
            <w:vAlign w:val="center"/>
          </w:tcPr>
          <w:p>
            <w:pPr>
              <w:pStyle w:val="TableContents"/>
              <w:bidi w:val="0"/>
              <w:spacing w:before="0" w:after="283"/>
              <w:jc w:val="start"/>
              <w:rPr>
                <w:sz w:val="4"/>
                <w:szCs w:val="4"/>
              </w:rPr>
            </w:pPr>
            <w:r>
              <w:rPr>
                <w:sz w:val="4"/>
                <w:szCs w:val="4"/>
              </w:rPr>
            </w:r>
          </w:p>
        </w:tc>
        <w:tc>
          <w:tcPr>
            <w:tcW w:w="837" w:type="dxa"/>
            <w:tcBorders/>
            <w:vAlign w:val="center"/>
          </w:tcPr>
          <w:p>
            <w:pPr>
              <w:pStyle w:val="TableContents"/>
              <w:bidi w:val="0"/>
              <w:spacing w:before="0" w:after="283"/>
              <w:jc w:val="start"/>
              <w:rPr>
                <w:sz w:val="4"/>
                <w:szCs w:val="4"/>
              </w:rPr>
            </w:pPr>
            <w:r>
              <w:rPr>
                <w:sz w:val="4"/>
                <w:szCs w:val="4"/>
              </w:rPr>
            </w:r>
          </w:p>
        </w:tc>
        <w:tc>
          <w:tcPr>
            <w:tcW w:w="1631" w:type="dxa"/>
            <w:tcBorders/>
            <w:vAlign w:val="center"/>
          </w:tcPr>
          <w:p>
            <w:pPr>
              <w:pStyle w:val="TableContents"/>
              <w:bidi w:val="0"/>
              <w:spacing w:before="0" w:after="283"/>
              <w:jc w:val="start"/>
              <w:rPr>
                <w:sz w:val="4"/>
                <w:szCs w:val="4"/>
              </w:rPr>
            </w:pPr>
            <w:r>
              <w:rPr>
                <w:sz w:val="4"/>
                <w:szCs w:val="4"/>
              </w:rPr>
            </w:r>
          </w:p>
        </w:tc>
        <w:tc>
          <w:tcPr>
            <w:tcW w:w="837" w:type="dxa"/>
            <w:tcBorders/>
            <w:vAlign w:val="center"/>
          </w:tcPr>
          <w:p>
            <w:pPr>
              <w:pStyle w:val="TableContents"/>
              <w:bidi w:val="0"/>
              <w:spacing w:before="0" w:after="283"/>
              <w:jc w:val="start"/>
              <w:rPr>
                <w:sz w:val="4"/>
                <w:szCs w:val="4"/>
              </w:rPr>
            </w:pPr>
            <w:r>
              <w:rPr>
                <w:sz w:val="4"/>
                <w:szCs w:val="4"/>
              </w:rPr>
            </w:r>
          </w:p>
        </w:tc>
        <w:tc>
          <w:tcPr>
            <w:tcW w:w="1741" w:type="dxa"/>
            <w:tcBorders/>
            <w:vAlign w:val="center"/>
          </w:tcPr>
          <w:p>
            <w:pPr>
              <w:pStyle w:val="TableContents"/>
              <w:bidi w:val="0"/>
              <w:spacing w:before="0" w:after="283"/>
              <w:jc w:val="start"/>
              <w:rPr>
                <w:sz w:val="4"/>
                <w:szCs w:val="4"/>
              </w:rPr>
            </w:pPr>
            <w:r>
              <w:rPr>
                <w:sz w:val="4"/>
                <w:szCs w:val="4"/>
              </w:rPr>
            </w:r>
          </w:p>
        </w:tc>
      </w:tr>
      <w:tr>
        <w:trPr/>
        <w:tc>
          <w:tcPr>
            <w:tcW w:w="3475" w:type="dxa"/>
            <w:tcBorders/>
            <w:vAlign w:val="center"/>
          </w:tcPr>
          <w:p>
            <w:pPr>
              <w:pStyle w:val="TableContents"/>
              <w:bidi w:val="0"/>
              <w:spacing w:before="0" w:after="283"/>
              <w:jc w:val="start"/>
              <w:rPr/>
            </w:pPr>
            <w:r>
              <w:rPr/>
              <w:t xml:space="preserve">Less: Costs &amp; Expenses </w:t>
            </w:r>
          </w:p>
        </w:tc>
        <w:tc>
          <w:tcPr>
            <w:tcW w:w="1631" w:type="dxa"/>
            <w:tcBorders/>
            <w:vAlign w:val="center"/>
          </w:tcPr>
          <w:p>
            <w:pPr>
              <w:pStyle w:val="TableContents"/>
              <w:bidi w:val="0"/>
              <w:spacing w:before="0" w:after="283"/>
              <w:jc w:val="start"/>
              <w:rPr/>
            </w:pPr>
            <w:r>
              <w:rPr/>
              <w:t xml:space="preserve">4. 80 </w:t>
            </w:r>
          </w:p>
        </w:tc>
        <w:tc>
          <w:tcPr>
            <w:tcW w:w="837" w:type="dxa"/>
            <w:tcBorders/>
            <w:vAlign w:val="center"/>
          </w:tcPr>
          <w:p>
            <w:pPr>
              <w:pStyle w:val="TableContents"/>
              <w:bidi w:val="0"/>
              <w:spacing w:before="0" w:after="283"/>
              <w:jc w:val="start"/>
              <w:rPr>
                <w:sz w:val="4"/>
                <w:szCs w:val="4"/>
              </w:rPr>
            </w:pPr>
            <w:r>
              <w:rPr>
                <w:sz w:val="4"/>
                <w:szCs w:val="4"/>
              </w:rPr>
            </w:r>
          </w:p>
        </w:tc>
        <w:tc>
          <w:tcPr>
            <w:tcW w:w="1631" w:type="dxa"/>
            <w:tcBorders/>
            <w:vAlign w:val="center"/>
          </w:tcPr>
          <w:p>
            <w:pPr>
              <w:pStyle w:val="TableContents"/>
              <w:bidi w:val="0"/>
              <w:spacing w:before="0" w:after="283"/>
              <w:jc w:val="start"/>
              <w:rPr/>
            </w:pPr>
            <w:r>
              <w:rPr/>
              <w:t xml:space="preserve">2. 00 </w:t>
            </w:r>
          </w:p>
        </w:tc>
        <w:tc>
          <w:tcPr>
            <w:tcW w:w="837" w:type="dxa"/>
            <w:tcBorders/>
            <w:vAlign w:val="center"/>
          </w:tcPr>
          <w:p>
            <w:pPr>
              <w:pStyle w:val="TableContents"/>
              <w:bidi w:val="0"/>
              <w:spacing w:before="0" w:after="283"/>
              <w:jc w:val="start"/>
              <w:rPr>
                <w:sz w:val="4"/>
                <w:szCs w:val="4"/>
              </w:rPr>
            </w:pPr>
            <w:r>
              <w:rPr>
                <w:sz w:val="4"/>
                <w:szCs w:val="4"/>
              </w:rPr>
            </w:r>
          </w:p>
        </w:tc>
        <w:tc>
          <w:tcPr>
            <w:tcW w:w="1741" w:type="dxa"/>
            <w:tcBorders/>
            <w:vAlign w:val="center"/>
          </w:tcPr>
          <w:p>
            <w:pPr>
              <w:pStyle w:val="TableContents"/>
              <w:bidi w:val="0"/>
              <w:spacing w:before="0" w:after="283"/>
              <w:jc w:val="start"/>
              <w:rPr/>
            </w:pPr>
            <w:r>
              <w:rPr/>
              <w:t xml:space="preserve">2. 80 </w:t>
            </w:r>
          </w:p>
        </w:tc>
      </w:tr>
      <w:tr>
        <w:trPr/>
        <w:tc>
          <w:tcPr>
            <w:tcW w:w="3475" w:type="dxa"/>
            <w:tcBorders/>
            <w:vAlign w:val="center"/>
          </w:tcPr>
          <w:p>
            <w:pPr>
              <w:pStyle w:val="TableContents"/>
              <w:bidi w:val="0"/>
              <w:spacing w:before="0" w:after="283"/>
              <w:jc w:val="start"/>
              <w:rPr>
                <w:sz w:val="4"/>
                <w:szCs w:val="4"/>
              </w:rPr>
            </w:pPr>
            <w:r>
              <w:rPr>
                <w:sz w:val="4"/>
                <w:szCs w:val="4"/>
              </w:rPr>
            </w:r>
          </w:p>
        </w:tc>
        <w:tc>
          <w:tcPr>
            <w:tcW w:w="1631" w:type="dxa"/>
            <w:tcBorders/>
            <w:vAlign w:val="center"/>
          </w:tcPr>
          <w:p>
            <w:pPr>
              <w:pStyle w:val="TableContents"/>
              <w:bidi w:val="0"/>
              <w:spacing w:before="0" w:after="283"/>
              <w:jc w:val="start"/>
              <w:rPr>
                <w:sz w:val="4"/>
                <w:szCs w:val="4"/>
              </w:rPr>
            </w:pPr>
            <w:r>
              <w:rPr>
                <w:sz w:val="4"/>
                <w:szCs w:val="4"/>
              </w:rPr>
            </w:r>
          </w:p>
        </w:tc>
        <w:tc>
          <w:tcPr>
            <w:tcW w:w="837" w:type="dxa"/>
            <w:tcBorders/>
            <w:vAlign w:val="center"/>
          </w:tcPr>
          <w:p>
            <w:pPr>
              <w:pStyle w:val="TableContents"/>
              <w:bidi w:val="0"/>
              <w:spacing w:before="0" w:after="283"/>
              <w:jc w:val="start"/>
              <w:rPr>
                <w:sz w:val="4"/>
                <w:szCs w:val="4"/>
              </w:rPr>
            </w:pPr>
            <w:r>
              <w:rPr>
                <w:sz w:val="4"/>
                <w:szCs w:val="4"/>
              </w:rPr>
            </w:r>
          </w:p>
        </w:tc>
        <w:tc>
          <w:tcPr>
            <w:tcW w:w="1631" w:type="dxa"/>
            <w:tcBorders/>
            <w:vAlign w:val="center"/>
          </w:tcPr>
          <w:p>
            <w:pPr>
              <w:pStyle w:val="TableContents"/>
              <w:bidi w:val="0"/>
              <w:spacing w:before="0" w:after="283"/>
              <w:jc w:val="start"/>
              <w:rPr>
                <w:sz w:val="4"/>
                <w:szCs w:val="4"/>
              </w:rPr>
            </w:pPr>
            <w:r>
              <w:rPr>
                <w:sz w:val="4"/>
                <w:szCs w:val="4"/>
              </w:rPr>
            </w:r>
          </w:p>
        </w:tc>
        <w:tc>
          <w:tcPr>
            <w:tcW w:w="837" w:type="dxa"/>
            <w:tcBorders/>
            <w:vAlign w:val="center"/>
          </w:tcPr>
          <w:p>
            <w:pPr>
              <w:pStyle w:val="TableContents"/>
              <w:bidi w:val="0"/>
              <w:spacing w:before="0" w:after="283"/>
              <w:jc w:val="start"/>
              <w:rPr>
                <w:sz w:val="4"/>
                <w:szCs w:val="4"/>
              </w:rPr>
            </w:pPr>
            <w:r>
              <w:rPr>
                <w:sz w:val="4"/>
                <w:szCs w:val="4"/>
              </w:rPr>
            </w:r>
          </w:p>
        </w:tc>
        <w:tc>
          <w:tcPr>
            <w:tcW w:w="1741" w:type="dxa"/>
            <w:tcBorders/>
            <w:vAlign w:val="center"/>
          </w:tcPr>
          <w:p>
            <w:pPr>
              <w:pStyle w:val="TableContents"/>
              <w:bidi w:val="0"/>
              <w:spacing w:before="0" w:after="283"/>
              <w:jc w:val="start"/>
              <w:rPr>
                <w:sz w:val="4"/>
                <w:szCs w:val="4"/>
              </w:rPr>
            </w:pPr>
            <w:r>
              <w:rPr>
                <w:sz w:val="4"/>
                <w:szCs w:val="4"/>
              </w:rPr>
            </w:r>
          </w:p>
        </w:tc>
      </w:tr>
      <w:tr>
        <w:trPr/>
        <w:tc>
          <w:tcPr>
            <w:tcW w:w="3475" w:type="dxa"/>
            <w:tcBorders/>
            <w:vAlign w:val="center"/>
          </w:tcPr>
          <w:p>
            <w:pPr>
              <w:pStyle w:val="TableContents"/>
              <w:bidi w:val="0"/>
              <w:spacing w:before="0" w:after="283"/>
              <w:jc w:val="start"/>
              <w:rPr/>
            </w:pPr>
            <w:r>
              <w:rPr/>
              <w:t xml:space="preserve">Gross Profit </w:t>
            </w:r>
          </w:p>
        </w:tc>
        <w:tc>
          <w:tcPr>
            <w:tcW w:w="1631" w:type="dxa"/>
            <w:tcBorders/>
            <w:vAlign w:val="center"/>
          </w:tcPr>
          <w:p>
            <w:pPr>
              <w:pStyle w:val="TableContents"/>
              <w:bidi w:val="0"/>
              <w:spacing w:before="0" w:after="283"/>
              <w:jc w:val="start"/>
              <w:rPr/>
            </w:pPr>
            <w:r>
              <w:rPr/>
              <w:t xml:space="preserve">10. 40 </w:t>
            </w:r>
          </w:p>
        </w:tc>
        <w:tc>
          <w:tcPr>
            <w:tcW w:w="837" w:type="dxa"/>
            <w:tcBorders/>
            <w:vAlign w:val="center"/>
          </w:tcPr>
          <w:p>
            <w:pPr>
              <w:pStyle w:val="TableContents"/>
              <w:bidi w:val="0"/>
              <w:spacing w:before="0" w:after="283"/>
              <w:jc w:val="start"/>
              <w:rPr>
                <w:sz w:val="4"/>
                <w:szCs w:val="4"/>
              </w:rPr>
            </w:pPr>
            <w:r>
              <w:rPr>
                <w:sz w:val="4"/>
                <w:szCs w:val="4"/>
              </w:rPr>
            </w:r>
          </w:p>
        </w:tc>
        <w:tc>
          <w:tcPr>
            <w:tcW w:w="1631" w:type="dxa"/>
            <w:tcBorders/>
            <w:vAlign w:val="center"/>
          </w:tcPr>
          <w:p>
            <w:pPr>
              <w:pStyle w:val="TableContents"/>
              <w:bidi w:val="0"/>
              <w:spacing w:before="0" w:after="283"/>
              <w:jc w:val="start"/>
              <w:rPr/>
            </w:pPr>
            <w:r>
              <w:rPr/>
              <w:t xml:space="preserve">2. 40 </w:t>
            </w:r>
          </w:p>
        </w:tc>
        <w:tc>
          <w:tcPr>
            <w:tcW w:w="837" w:type="dxa"/>
            <w:tcBorders/>
            <w:vAlign w:val="center"/>
          </w:tcPr>
          <w:p>
            <w:pPr>
              <w:pStyle w:val="TableContents"/>
              <w:bidi w:val="0"/>
              <w:spacing w:before="0" w:after="283"/>
              <w:jc w:val="start"/>
              <w:rPr>
                <w:sz w:val="4"/>
                <w:szCs w:val="4"/>
              </w:rPr>
            </w:pPr>
            <w:r>
              <w:rPr>
                <w:sz w:val="4"/>
                <w:szCs w:val="4"/>
              </w:rPr>
            </w:r>
          </w:p>
        </w:tc>
        <w:tc>
          <w:tcPr>
            <w:tcW w:w="1741" w:type="dxa"/>
            <w:tcBorders/>
            <w:vAlign w:val="center"/>
          </w:tcPr>
          <w:p>
            <w:pPr>
              <w:pStyle w:val="TableContents"/>
              <w:bidi w:val="0"/>
              <w:spacing w:before="0" w:after="283"/>
              <w:jc w:val="start"/>
              <w:rPr/>
            </w:pPr>
            <w:r>
              <w:rPr/>
              <w:t xml:space="preserve">8. 00 </w:t>
            </w:r>
          </w:p>
        </w:tc>
      </w:tr>
    </w:tbl>
    <w:p>
      <w:pPr>
        <w:pStyle w:val="TextBody"/>
        <w:bidi w:val="0"/>
        <w:spacing w:before="0" w:after="283"/>
        <w:jc w:val="start"/>
        <w:rPr/>
      </w:pPr>
      <w:r>
        <w:rPr/>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lines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lines</dc:title>
  <dc:subject>Law;Contract Law</dc:subject>
  <dc:creator>AssignBuster</dc:creator>
  <cp:keywords/>
  <dc:description>Why? The domestic distribution revenues of $3 million because the deal had not been finalized Even if the deal on the projected domestic sales of $3 m...</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