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"https://assignbuster.com/mental-disorders-illicit-drugs-and-hiv-proliferation-in-children/"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Mental disorders, illicit drugs, and hiv proliferation in children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Health &amp; Medicine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Protective factors are influences that a person can have which will increase their ability to deal with certain stressors which can increase their ability to influence their mental health. Protective factors lead to a person developing resilience to certain stressful situations. </w:t>
        <w:br/>
        <w:t xml:space="preserve">2) Decriminalization of illicit drugs like marijuana, cocaine will increase drug-related social problems. Drugs are not regarded as being dangerous because they are illegal; they are illegal since they are dangerous. Decriminization of illicit drugs helps in not regulation of illicit drugs. Decriminalization is actually part of a back door effort that will help easy society to accept the use of addictive drugs; this will include the use of drug-related social problems. </w:t>
        <w:br/>
        <w:t xml:space="preserve">3) Children are very sensitive to the issue of HIV/AIDS. Children have many fears regarding this disease. F children are taught about HIV/AIDS they c n make their health choices (Dyk 87). If children are taught about HIV/AIDS this will be an indication that people care about their wealth. At the age of 8 to 10 you can start to teach a child the basic of HIV/AIDs and how it is contracted.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https://assignbuster.com/mental-disorders-illicit-drugs-and-hiv-proliferation-in-children/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Mental disorders, illicit drugs, and hiv...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health-n-medicin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Mental disorders, illicit drugs, and hiv proliferation in children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Mental disorders, illicit drugs, and hiv proliferation in children</dc:title>
  <dc:subject>Health &amp; Medicine;</dc:subject>
  <dc:creator>AssignBuster</dc:creator>
  <cp:keywords/>
  <dc:description>3) Children are very sensitive to the issue of HIVAIDS.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Health &amp; Medicine;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