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Idiopathic parkinson's disease</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Idiopathic Parkinson’s disease (IPD) is a movement disorder associated with loss of dopaminergic neurons in the substantia nigra and the development of Lewy bodies. A reduction in normal striatal dopamine levels of 80% or more results in the cardinal symptoms of IPD, namely bradykinesia, rigidity, rest tremors and postural instability (1). Although the motor symptoms of Parkinson’s disease are well defined, the non-motor features of this disorder are under-recognized and, consequently, undertreated. Non-motor symptoms and their management have been recognised by the UK National Institute for Clinical Excellence as an important unmet need in IPD (2). Results from a recent international survey show that up to 62% of non-motor symptoms of IPD, such as apathy, pain, sexual difficulties, bowel, urinary incontinence, and sleep disorders might remain undeclared to health-care professionals because patients are either embarrassed or unaware that the symptoms are linked to IPD (3). </w:t>
      </w:r>
    </w:p>
    <w:p>
      <w:pPr>
        <w:pStyle w:val="TextBody"/>
        <w:bidi w:val="0"/>
        <w:spacing w:before="0" w:after="283"/>
        <w:jc w:val="start"/>
        <w:rPr/>
      </w:pPr>
      <w:r>
        <w:rPr/>
        <w:t xml:space="preserve">Results from early studies suggested that urinary dysfunction (UD) affects between 37% and 70% of individuals with IPD (4). However, many of these studies may have overestimated the prevalence of UD since they were published prior to the recognition of multiple system atrophy (MSA) as a separate disease entity. In addition, many studies recruited patients with symptomatic bladder dysfunction from tertiary referral centers. The use of non-validated questionnaires and the inclusion of patients with other forms of Parkinsonism such as cerebrovascular Parkinsonism may have led to further bias (5). More recent studies, using accepted diagnostic criteria for IPD, have found the prevalence of UD to be between 27% and 39%. When compared to a control group the relative risk of bladder symptoms in IPD is 2-fold (6). </w:t>
      </w:r>
    </w:p>
    <w:p>
      <w:pPr>
        <w:pStyle w:val="TextBody"/>
        <w:bidi w:val="0"/>
        <w:spacing w:before="0" w:after="283"/>
        <w:jc w:val="start"/>
        <w:rPr/>
      </w:pPr>
      <w:r>
        <w:rPr/>
        <w:t xml:space="preserve">The aim of this work is to evaluate the urinary symptoms at different stages of IPD severity and its relation to urodynamic tests. </w:t>
      </w:r>
    </w:p>
    <w:p>
      <w:pPr>
        <w:pStyle w:val="Heading3"/>
        <w:bidi w:val="0"/>
        <w:jc w:val="start"/>
        <w:rPr/>
      </w:pPr>
      <w:r>
        <w:rPr/>
        <w:t xml:space="preserve">Patients and methods: </w:t>
      </w:r>
    </w:p>
    <w:p>
      <w:pPr>
        <w:pStyle w:val="TextBody"/>
        <w:bidi w:val="0"/>
        <w:spacing w:before="0" w:after="283"/>
        <w:jc w:val="start"/>
        <w:rPr/>
      </w:pPr>
      <w:r>
        <w:rPr/>
        <w:t xml:space="preserve">This study was conducted on 57 patients with probable IPD attending Urology and Neurology departments, Tanta University Hospital for evaluations of the lower urinary tract symptoms. ALL patients were subjected to, history taking including International Prostate Symptom Score (IPSS), physical examination and neurological examinations. IPD patients were stratified into 5 stages according to Hoehn &amp; Yahr disability stages (7). The IPSS questionnaire was administrated to each patient by one of us to help the patient understand the questionnaire. All men underwent digital rectal examinations and pelvic ultrasonography to exclude prostatic hyperplasia. Eight patients diagnosed with prostatic hyperplasia were excluded from the study. All patients (49 patients) were subjected to urodynamic studies. </w:t>
      </w:r>
    </w:p>
    <w:p>
      <w:pPr>
        <w:pStyle w:val="Heading3"/>
        <w:bidi w:val="0"/>
        <w:jc w:val="start"/>
        <w:rPr/>
      </w:pPr>
      <w:r>
        <w:rPr/>
        <w:t xml:space="preserve">Statistical analysis: </w:t>
      </w:r>
    </w:p>
    <w:p>
      <w:pPr>
        <w:pStyle w:val="TextBody"/>
        <w:bidi w:val="0"/>
        <w:spacing w:before="0" w:after="283"/>
        <w:jc w:val="start"/>
        <w:rPr/>
      </w:pPr>
      <w:r>
        <w:rPr/>
        <w:t xml:space="preserve">Data are presented as mean ± SD. Analysis was performed with SPSS statistical package version 12 (SPSS, USA). For statistical purpose the disease severity stages were divided into mild (stages 1 and 2 H&amp;Y), moderate (stage 3 H&amp;Y) and severe (stages 4 and 5 H&amp;Y). </w:t>
      </w:r>
    </w:p>
    <w:p>
      <w:pPr>
        <w:pStyle w:val="Heading3"/>
        <w:bidi w:val="0"/>
        <w:jc w:val="start"/>
        <w:rPr/>
      </w:pPr>
      <w:r>
        <w:rPr/>
        <w:t xml:space="preserve">Results: </w:t>
      </w:r>
    </w:p>
    <w:p>
      <w:pPr>
        <w:pStyle w:val="Heading3"/>
        <w:bidi w:val="0"/>
        <w:jc w:val="start"/>
        <w:rPr/>
      </w:pPr>
      <w:r>
        <w:rPr/>
        <w:t xml:space="preserve">Demographic and clinical characteristics of the patients; </w:t>
      </w:r>
    </w:p>
    <w:p>
      <w:pPr>
        <w:pStyle w:val="TextBody"/>
        <w:bidi w:val="0"/>
        <w:spacing w:before="0" w:after="283"/>
        <w:jc w:val="start"/>
        <w:rPr/>
      </w:pPr>
      <w:r>
        <w:rPr/>
        <w:t xml:space="preserve">This study was carried on 49 patients with probable IPD, 31 male patients and 18 female patients, their age ranged from 56-73 years (mean 63. 73±7. 21 years). The duration of illness was 4-11 years (mean 7. 81±3. 27 years). According to Hoehn and Yaher classification of Parkinson’s disease disability stage, we had 4, 10, 29, 5, 1 patients distributed into stages 1 to 5 respectively. The number of patients in stage 3 was higher than other stages; this may be due to few lower urinary symptoms in early stage of the disease and severe motor and psychiatric symptoms that affect daily life activities in advanced stages. Antiparkinsonian drugs received by the patients were levodopa (41patients), dopamine agonists (39 patients) and anticholinergics (24 patients). </w:t>
      </w:r>
    </w:p>
    <w:p>
      <w:pPr>
        <w:pStyle w:val="Heading3"/>
        <w:bidi w:val="0"/>
        <w:jc w:val="start"/>
        <w:rPr/>
      </w:pPr>
      <w:r>
        <w:rPr/>
        <w:t xml:space="preserve">Lower urinary tract symptoms; </w:t>
      </w:r>
    </w:p>
    <w:p>
      <w:pPr>
        <w:pStyle w:val="TextBody"/>
        <w:bidi w:val="0"/>
        <w:spacing w:before="0" w:after="283"/>
        <w:jc w:val="start"/>
        <w:rPr/>
      </w:pPr>
      <w:r>
        <w:rPr/>
        <w:t xml:space="preserve">The most frequent symptoms of lower urinary tract dysfunctions were symptoms due to storage disorder which include nocturia (77. 5%), urgency (36. 7%) and frequency (32. 6%) (Table 1). </w:t>
      </w:r>
    </w:p>
    <w:p>
      <w:pPr>
        <w:pStyle w:val="TextBody"/>
        <w:bidi w:val="0"/>
        <w:spacing w:before="0" w:after="283"/>
        <w:jc w:val="start"/>
        <w:rPr/>
      </w:pPr>
      <w:r>
        <w:rPr/>
        <w:t xml:space="preserve">The IPSS index scores; </w:t>
      </w:r>
    </w:p>
    <w:p>
      <w:pPr>
        <w:pStyle w:val="TextBody"/>
        <w:bidi w:val="0"/>
        <w:spacing w:before="0" w:after="283"/>
        <w:jc w:val="start"/>
        <w:rPr/>
      </w:pPr>
      <w:r>
        <w:rPr/>
        <w:t xml:space="preserve">The total IPSS scores and irritative index scores were correlated significantly with disease severity while obstructive index scores did not (Table 2). Also, there was significant correlation between total IPSS score and quality of life score (Table 3). </w:t>
      </w:r>
    </w:p>
    <w:p>
      <w:pPr>
        <w:pStyle w:val="Heading3"/>
        <w:bidi w:val="0"/>
        <w:jc w:val="start"/>
        <w:rPr/>
      </w:pPr>
      <w:r>
        <w:rPr/>
        <w:t xml:space="preserve">Urodynamic parameters; </w:t>
      </w:r>
    </w:p>
    <w:p>
      <w:pPr>
        <w:pStyle w:val="TextBody"/>
        <w:bidi w:val="0"/>
        <w:spacing w:before="0" w:after="283"/>
        <w:jc w:val="start"/>
        <w:rPr/>
      </w:pPr>
      <w:r>
        <w:rPr/>
        <w:t xml:space="preserve">In this study, we found 33 (67. 3%) patients with detrusor hyperreflexia, 6 (12. 2%) patients with hyporeflexia, 10 (20. 4%) patients with normal detrusor function (Table 4). Volume at initial desire to void and maximum bladder capacity (urodynamic parameters associated with filling phase) were correlated with disease severity while detrusor pressure and post-void residual urine(urodynamic parameters associated with voiding phase) did not (Table 5). There was significant correlation between irritative symptoms score index and volume at initial desire to void and maximum bladder capacity meanwhile the obstructive symptoms score index had no significant relations with any of urodynamic parameters (Table 6). </w:t>
      </w:r>
    </w:p>
    <w:p>
      <w:pPr>
        <w:pStyle w:val="Heading3"/>
        <w:bidi w:val="0"/>
        <w:jc w:val="start"/>
        <w:rPr/>
      </w:pPr>
      <w:r>
        <w:rPr/>
        <w:t xml:space="preserve">Antiparkinsonian drugs; </w:t>
      </w:r>
    </w:p>
    <w:p>
      <w:pPr>
        <w:pStyle w:val="TextBody"/>
        <w:bidi w:val="0"/>
        <w:spacing w:before="0" w:after="283"/>
        <w:jc w:val="start"/>
        <w:rPr/>
      </w:pPr>
      <w:r>
        <w:rPr/>
        <w:t xml:space="preserve">The patients were divided into 2 groups, one group was taking anticholinergic drugs (24 patients) plus Levodopa or dopamine agonists, the second group was taking Levodopa and dopamine agonists(25 patients). There was no significant difference between the 2 groups as regard the mean of urodynamic parameters (Table 7). </w:t>
      </w:r>
    </w:p>
    <w:p>
      <w:pPr>
        <w:pStyle w:val="TextBody"/>
        <w:bidi w:val="0"/>
        <w:spacing w:before="0" w:after="283"/>
        <w:jc w:val="start"/>
        <w:rPr/>
      </w:pPr>
      <w:r>
        <w:rPr/>
        <w:t xml:space="preserve">Table 1. Frequency of the of lower urinary tract symptoms of IPD patients </w:t>
      </w:r>
    </w:p>
    <w:tbl>
      <w:tblPr>
        <w:tblW w:w="3075" w:type="dxa"/>
        <w:jc w:val="start"/>
        <w:tblInd w:w="0" w:type="dxa"/>
        <w:tblLayout w:type="fixed"/>
        <w:tblCellMar>
          <w:top w:w="0" w:type="dxa"/>
          <w:start w:w="0" w:type="dxa"/>
          <w:bottom w:w="0" w:type="dxa"/>
          <w:end w:w="0" w:type="dxa"/>
        </w:tblCellMar>
      </w:tblPr>
      <w:tblGrid>
        <w:gridCol w:w="2075"/>
        <w:gridCol w:w="440"/>
        <w:gridCol w:w="560"/>
      </w:tblGrid>
      <w:tr>
        <w:trPr/>
        <w:tc>
          <w:tcPr>
            <w:tcW w:w="2075" w:type="dxa"/>
            <w:vMerge w:val="restart"/>
            <w:tcBorders/>
            <w:vAlign w:val="center"/>
          </w:tcPr>
          <w:p>
            <w:pPr>
              <w:pStyle w:val="TableContents"/>
              <w:bidi w:val="0"/>
              <w:spacing w:before="0" w:after="283"/>
              <w:jc w:val="start"/>
              <w:rPr/>
            </w:pPr>
            <w:r>
              <w:rPr/>
              <w:t xml:space="preserve">Symptoms </w:t>
            </w:r>
          </w:p>
        </w:tc>
        <w:tc>
          <w:tcPr>
            <w:tcW w:w="1000" w:type="dxa"/>
            <w:gridSpan w:val="2"/>
            <w:tcBorders/>
            <w:vAlign w:val="center"/>
          </w:tcPr>
          <w:p>
            <w:pPr>
              <w:pStyle w:val="TableContents"/>
              <w:bidi w:val="0"/>
              <w:spacing w:before="0" w:after="283"/>
              <w:jc w:val="start"/>
              <w:rPr/>
            </w:pPr>
            <w:r>
              <w:rPr/>
              <w:t xml:space="preserve">Patients </w:t>
            </w:r>
          </w:p>
        </w:tc>
      </w:tr>
      <w:tr>
        <w:trPr/>
        <w:tc>
          <w:tcPr>
            <w:tcW w:w="2075" w:type="dxa"/>
            <w:vMerge w:val="continue"/>
            <w:tcBorders/>
            <w:vAlign w:val="center"/>
          </w:tcPr>
          <w:p>
            <w:pPr>
              <w:pStyle w:val="TableContents"/>
              <w:bidi w:val="0"/>
              <w:spacing w:before="0" w:after="283"/>
              <w:jc w:val="start"/>
              <w:rPr>
                <w:sz w:val="4"/>
                <w:szCs w:val="4"/>
              </w:rPr>
            </w:pPr>
            <w:r>
              <w:rPr>
                <w:sz w:val="4"/>
                <w:szCs w:val="4"/>
              </w:rPr>
            </w:r>
          </w:p>
        </w:tc>
        <w:tc>
          <w:tcPr>
            <w:tcW w:w="440" w:type="dxa"/>
            <w:tcBorders/>
            <w:vAlign w:val="center"/>
          </w:tcPr>
          <w:p>
            <w:pPr>
              <w:pStyle w:val="TableContents"/>
              <w:bidi w:val="0"/>
              <w:spacing w:before="0" w:after="283"/>
              <w:jc w:val="start"/>
              <w:rPr/>
            </w:pPr>
            <w:r>
              <w:rPr/>
              <w:t xml:space="preserve">NO </w:t>
            </w:r>
          </w:p>
        </w:tc>
        <w:tc>
          <w:tcPr>
            <w:tcW w:w="560" w:type="dxa"/>
            <w:tcBorders/>
            <w:vAlign w:val="center"/>
          </w:tcPr>
          <w:p>
            <w:pPr>
              <w:pStyle w:val="TableContents"/>
              <w:bidi w:val="0"/>
              <w:spacing w:before="0" w:after="283"/>
              <w:jc w:val="start"/>
              <w:rPr/>
            </w:pPr>
            <w:r>
              <w:rPr/>
              <w:t xml:space="preserve">% </w:t>
            </w:r>
          </w:p>
        </w:tc>
      </w:tr>
      <w:tr>
        <w:trPr/>
        <w:tc>
          <w:tcPr>
            <w:tcW w:w="2075" w:type="dxa"/>
            <w:tcBorders/>
            <w:vAlign w:val="center"/>
          </w:tcPr>
          <w:p>
            <w:pPr>
              <w:pStyle w:val="TableContents"/>
              <w:bidi w:val="0"/>
              <w:spacing w:before="0" w:after="283"/>
              <w:jc w:val="start"/>
              <w:rPr/>
            </w:pPr>
            <w:r>
              <w:rPr/>
              <w:t xml:space="preserve">Nocturia </w:t>
            </w:r>
          </w:p>
        </w:tc>
        <w:tc>
          <w:tcPr>
            <w:tcW w:w="440" w:type="dxa"/>
            <w:tcBorders/>
            <w:vAlign w:val="center"/>
          </w:tcPr>
          <w:p>
            <w:pPr>
              <w:pStyle w:val="TableContents"/>
              <w:bidi w:val="0"/>
              <w:spacing w:before="0" w:after="283"/>
              <w:jc w:val="start"/>
              <w:rPr/>
            </w:pPr>
            <w:r>
              <w:rPr/>
              <w:t xml:space="preserve">38 </w:t>
            </w:r>
          </w:p>
        </w:tc>
        <w:tc>
          <w:tcPr>
            <w:tcW w:w="560" w:type="dxa"/>
            <w:tcBorders/>
            <w:vAlign w:val="center"/>
          </w:tcPr>
          <w:p>
            <w:pPr>
              <w:pStyle w:val="TableContents"/>
              <w:bidi w:val="0"/>
              <w:spacing w:before="0" w:after="283"/>
              <w:jc w:val="start"/>
              <w:rPr/>
            </w:pPr>
            <w:r>
              <w:rPr/>
              <w:t xml:space="preserve">77. 5 </w:t>
            </w:r>
          </w:p>
        </w:tc>
      </w:tr>
      <w:tr>
        <w:trPr/>
        <w:tc>
          <w:tcPr>
            <w:tcW w:w="2075" w:type="dxa"/>
            <w:tcBorders/>
            <w:vAlign w:val="center"/>
          </w:tcPr>
          <w:p>
            <w:pPr>
              <w:pStyle w:val="TableContents"/>
              <w:bidi w:val="0"/>
              <w:spacing w:before="0" w:after="283"/>
              <w:jc w:val="start"/>
              <w:rPr/>
            </w:pPr>
            <w:r>
              <w:rPr/>
              <w:t xml:space="preserve">Urgency </w:t>
            </w:r>
          </w:p>
        </w:tc>
        <w:tc>
          <w:tcPr>
            <w:tcW w:w="440" w:type="dxa"/>
            <w:tcBorders/>
            <w:vAlign w:val="center"/>
          </w:tcPr>
          <w:p>
            <w:pPr>
              <w:pStyle w:val="TableContents"/>
              <w:bidi w:val="0"/>
              <w:spacing w:before="0" w:after="283"/>
              <w:jc w:val="start"/>
              <w:rPr/>
            </w:pPr>
            <w:r>
              <w:rPr/>
              <w:t xml:space="preserve">18 </w:t>
            </w:r>
          </w:p>
        </w:tc>
        <w:tc>
          <w:tcPr>
            <w:tcW w:w="560" w:type="dxa"/>
            <w:tcBorders/>
            <w:vAlign w:val="center"/>
          </w:tcPr>
          <w:p>
            <w:pPr>
              <w:pStyle w:val="TableContents"/>
              <w:bidi w:val="0"/>
              <w:spacing w:before="0" w:after="283"/>
              <w:jc w:val="start"/>
              <w:rPr/>
            </w:pPr>
            <w:r>
              <w:rPr/>
              <w:t xml:space="preserve">36. 7 </w:t>
            </w:r>
          </w:p>
        </w:tc>
      </w:tr>
      <w:tr>
        <w:trPr/>
        <w:tc>
          <w:tcPr>
            <w:tcW w:w="2075" w:type="dxa"/>
            <w:tcBorders/>
            <w:vAlign w:val="center"/>
          </w:tcPr>
          <w:p>
            <w:pPr>
              <w:pStyle w:val="TableContents"/>
              <w:bidi w:val="0"/>
              <w:spacing w:before="0" w:after="283"/>
              <w:jc w:val="start"/>
              <w:rPr/>
            </w:pPr>
            <w:r>
              <w:rPr/>
              <w:t xml:space="preserve">Frequency </w:t>
            </w:r>
          </w:p>
        </w:tc>
        <w:tc>
          <w:tcPr>
            <w:tcW w:w="440" w:type="dxa"/>
            <w:tcBorders/>
            <w:vAlign w:val="center"/>
          </w:tcPr>
          <w:p>
            <w:pPr>
              <w:pStyle w:val="TableContents"/>
              <w:bidi w:val="0"/>
              <w:spacing w:before="0" w:after="283"/>
              <w:jc w:val="start"/>
              <w:rPr/>
            </w:pPr>
            <w:r>
              <w:rPr/>
              <w:t xml:space="preserve">16 </w:t>
            </w:r>
          </w:p>
        </w:tc>
        <w:tc>
          <w:tcPr>
            <w:tcW w:w="560" w:type="dxa"/>
            <w:tcBorders/>
            <w:vAlign w:val="center"/>
          </w:tcPr>
          <w:p>
            <w:pPr>
              <w:pStyle w:val="TableContents"/>
              <w:bidi w:val="0"/>
              <w:spacing w:before="0" w:after="283"/>
              <w:jc w:val="start"/>
              <w:rPr/>
            </w:pPr>
            <w:r>
              <w:rPr/>
              <w:t xml:space="preserve">32. 6 </w:t>
            </w:r>
          </w:p>
        </w:tc>
      </w:tr>
      <w:tr>
        <w:trPr/>
        <w:tc>
          <w:tcPr>
            <w:tcW w:w="2075" w:type="dxa"/>
            <w:tcBorders/>
            <w:vAlign w:val="center"/>
          </w:tcPr>
          <w:p>
            <w:pPr>
              <w:pStyle w:val="TableContents"/>
              <w:bidi w:val="0"/>
              <w:spacing w:before="0" w:after="283"/>
              <w:jc w:val="start"/>
              <w:rPr/>
            </w:pPr>
            <w:r>
              <w:rPr/>
              <w:t xml:space="preserve">Incomplete emptying </w:t>
            </w:r>
          </w:p>
        </w:tc>
        <w:tc>
          <w:tcPr>
            <w:tcW w:w="440" w:type="dxa"/>
            <w:tcBorders/>
            <w:vAlign w:val="center"/>
          </w:tcPr>
          <w:p>
            <w:pPr>
              <w:pStyle w:val="TableContents"/>
              <w:bidi w:val="0"/>
              <w:spacing w:before="0" w:after="283"/>
              <w:jc w:val="start"/>
              <w:rPr/>
            </w:pPr>
            <w:r>
              <w:rPr/>
              <w:t xml:space="preserve">4 </w:t>
            </w:r>
          </w:p>
        </w:tc>
        <w:tc>
          <w:tcPr>
            <w:tcW w:w="560" w:type="dxa"/>
            <w:tcBorders/>
            <w:vAlign w:val="center"/>
          </w:tcPr>
          <w:p>
            <w:pPr>
              <w:pStyle w:val="TableContents"/>
              <w:bidi w:val="0"/>
              <w:spacing w:before="0" w:after="283"/>
              <w:jc w:val="start"/>
              <w:rPr/>
            </w:pPr>
            <w:r>
              <w:rPr/>
              <w:t xml:space="preserve">8. 1 </w:t>
            </w:r>
          </w:p>
        </w:tc>
      </w:tr>
      <w:tr>
        <w:trPr/>
        <w:tc>
          <w:tcPr>
            <w:tcW w:w="2075" w:type="dxa"/>
            <w:tcBorders/>
            <w:vAlign w:val="center"/>
          </w:tcPr>
          <w:p>
            <w:pPr>
              <w:pStyle w:val="TableContents"/>
              <w:bidi w:val="0"/>
              <w:spacing w:before="0" w:after="283"/>
              <w:jc w:val="start"/>
              <w:rPr/>
            </w:pPr>
            <w:r>
              <w:rPr/>
              <w:t xml:space="preserve">Intermittency </w:t>
            </w:r>
          </w:p>
        </w:tc>
        <w:tc>
          <w:tcPr>
            <w:tcW w:w="440" w:type="dxa"/>
            <w:tcBorders/>
            <w:vAlign w:val="center"/>
          </w:tcPr>
          <w:p>
            <w:pPr>
              <w:pStyle w:val="TableContents"/>
              <w:bidi w:val="0"/>
              <w:spacing w:before="0" w:after="283"/>
              <w:jc w:val="start"/>
              <w:rPr/>
            </w:pPr>
            <w:r>
              <w:rPr/>
              <w:t xml:space="preserve">3 </w:t>
            </w:r>
          </w:p>
        </w:tc>
        <w:tc>
          <w:tcPr>
            <w:tcW w:w="560" w:type="dxa"/>
            <w:tcBorders/>
            <w:vAlign w:val="center"/>
          </w:tcPr>
          <w:p>
            <w:pPr>
              <w:pStyle w:val="TableContents"/>
              <w:bidi w:val="0"/>
              <w:spacing w:before="0" w:after="283"/>
              <w:jc w:val="start"/>
              <w:rPr/>
            </w:pPr>
            <w:r>
              <w:rPr/>
              <w:t xml:space="preserve">6. 1 </w:t>
            </w:r>
          </w:p>
        </w:tc>
      </w:tr>
      <w:tr>
        <w:trPr/>
        <w:tc>
          <w:tcPr>
            <w:tcW w:w="2075" w:type="dxa"/>
            <w:tcBorders/>
            <w:vAlign w:val="center"/>
          </w:tcPr>
          <w:p>
            <w:pPr>
              <w:pStyle w:val="TableContents"/>
              <w:bidi w:val="0"/>
              <w:spacing w:before="0" w:after="283"/>
              <w:jc w:val="start"/>
              <w:rPr/>
            </w:pPr>
            <w:r>
              <w:rPr/>
              <w:t xml:space="preserve">Weak stream </w:t>
            </w:r>
          </w:p>
        </w:tc>
        <w:tc>
          <w:tcPr>
            <w:tcW w:w="440" w:type="dxa"/>
            <w:tcBorders/>
            <w:vAlign w:val="center"/>
          </w:tcPr>
          <w:p>
            <w:pPr>
              <w:pStyle w:val="TableContents"/>
              <w:bidi w:val="0"/>
              <w:spacing w:before="0" w:after="283"/>
              <w:jc w:val="start"/>
              <w:rPr/>
            </w:pPr>
            <w:r>
              <w:rPr/>
              <w:t xml:space="preserve">1 </w:t>
            </w:r>
          </w:p>
        </w:tc>
        <w:tc>
          <w:tcPr>
            <w:tcW w:w="560" w:type="dxa"/>
            <w:tcBorders/>
            <w:vAlign w:val="center"/>
          </w:tcPr>
          <w:p>
            <w:pPr>
              <w:pStyle w:val="TableContents"/>
              <w:bidi w:val="0"/>
              <w:spacing w:before="0" w:after="283"/>
              <w:jc w:val="start"/>
              <w:rPr/>
            </w:pPr>
            <w:r>
              <w:rPr/>
              <w:t xml:space="preserve">2 </w:t>
            </w:r>
          </w:p>
        </w:tc>
      </w:tr>
    </w:tbl>
    <w:p>
      <w:pPr>
        <w:pStyle w:val="TextBody"/>
        <w:bidi w:val="0"/>
        <w:spacing w:before="0" w:after="283"/>
        <w:jc w:val="start"/>
        <w:rPr/>
      </w:pPr>
      <w:r>
        <w:rPr/>
        <w:t xml:space="preserve">Table 2. Total, irritative, and obstructive symptom indexes of IPSS at each stage of disease severity </w:t>
      </w:r>
    </w:p>
    <w:tbl>
      <w:tblPr>
        <w:tblW w:w="4615" w:type="dxa"/>
        <w:jc w:val="start"/>
        <w:tblInd w:w="0" w:type="dxa"/>
        <w:tblLayout w:type="fixed"/>
        <w:tblCellMar>
          <w:top w:w="0" w:type="dxa"/>
          <w:start w:w="0" w:type="dxa"/>
          <w:bottom w:w="0" w:type="dxa"/>
          <w:end w:w="0" w:type="dxa"/>
        </w:tblCellMar>
      </w:tblPr>
      <w:tblGrid>
        <w:gridCol w:w="1524"/>
        <w:gridCol w:w="464"/>
        <w:gridCol w:w="900"/>
        <w:gridCol w:w="1076"/>
        <w:gridCol w:w="651"/>
      </w:tblGrid>
      <w:tr>
        <w:trPr/>
        <w:tc>
          <w:tcPr>
            <w:tcW w:w="1524" w:type="dxa"/>
            <w:vMerge w:val="restart"/>
            <w:tcBorders/>
            <w:vAlign w:val="center"/>
          </w:tcPr>
          <w:p>
            <w:pPr>
              <w:pStyle w:val="TableContents"/>
              <w:bidi w:val="0"/>
              <w:spacing w:before="0" w:after="283"/>
              <w:jc w:val="start"/>
              <w:rPr/>
            </w:pPr>
            <w:r>
              <w:rPr/>
              <w:t xml:space="preserve">Stages of disease severity </w:t>
            </w:r>
          </w:p>
        </w:tc>
        <w:tc>
          <w:tcPr>
            <w:tcW w:w="464" w:type="dxa"/>
            <w:vMerge w:val="restart"/>
            <w:tcBorders/>
            <w:vAlign w:val="center"/>
          </w:tcPr>
          <w:p>
            <w:pPr>
              <w:pStyle w:val="TableContents"/>
              <w:bidi w:val="0"/>
              <w:spacing w:before="0" w:after="283"/>
              <w:jc w:val="start"/>
              <w:rPr/>
            </w:pPr>
            <w:r>
              <w:rPr/>
              <w:t xml:space="preserve">No Pts </w:t>
            </w:r>
          </w:p>
        </w:tc>
        <w:tc>
          <w:tcPr>
            <w:tcW w:w="2627" w:type="dxa"/>
            <w:gridSpan w:val="3"/>
            <w:tcBorders/>
            <w:vAlign w:val="center"/>
          </w:tcPr>
          <w:p>
            <w:pPr>
              <w:pStyle w:val="TableContents"/>
              <w:bidi w:val="0"/>
              <w:spacing w:before="0" w:after="283"/>
              <w:jc w:val="start"/>
              <w:rPr/>
            </w:pPr>
            <w:r>
              <w:rPr/>
              <w:t xml:space="preserve">Mean IPSS±SD </w:t>
            </w:r>
          </w:p>
        </w:tc>
      </w:tr>
      <w:tr>
        <w:trPr/>
        <w:tc>
          <w:tcPr>
            <w:tcW w:w="1524" w:type="dxa"/>
            <w:vMerge w:val="continue"/>
            <w:tcBorders/>
            <w:vAlign w:val="center"/>
          </w:tcPr>
          <w:p>
            <w:pPr>
              <w:pStyle w:val="TableContents"/>
              <w:bidi w:val="0"/>
              <w:spacing w:before="0" w:after="283"/>
              <w:jc w:val="start"/>
              <w:rPr>
                <w:sz w:val="4"/>
                <w:szCs w:val="4"/>
              </w:rPr>
            </w:pPr>
            <w:r>
              <w:rPr>
                <w:sz w:val="4"/>
                <w:szCs w:val="4"/>
              </w:rPr>
            </w:r>
          </w:p>
        </w:tc>
        <w:tc>
          <w:tcPr>
            <w:tcW w:w="464" w:type="dxa"/>
            <w:vMerge w:val="continue"/>
            <w:tcBorders/>
            <w:vAlign w:val="center"/>
          </w:tcPr>
          <w:p>
            <w:pPr>
              <w:pStyle w:val="TableContents"/>
              <w:bidi w:val="0"/>
              <w:spacing w:before="0" w:after="283"/>
              <w:jc w:val="start"/>
              <w:rPr>
                <w:sz w:val="4"/>
                <w:szCs w:val="4"/>
              </w:rPr>
            </w:pPr>
            <w:r>
              <w:rPr>
                <w:sz w:val="4"/>
                <w:szCs w:val="4"/>
              </w:rPr>
            </w:r>
          </w:p>
        </w:tc>
        <w:tc>
          <w:tcPr>
            <w:tcW w:w="900" w:type="dxa"/>
            <w:tcBorders/>
            <w:vAlign w:val="center"/>
          </w:tcPr>
          <w:p>
            <w:pPr>
              <w:pStyle w:val="TableContents"/>
              <w:bidi w:val="0"/>
              <w:spacing w:before="0" w:after="283"/>
              <w:jc w:val="start"/>
              <w:rPr/>
            </w:pPr>
            <w:r>
              <w:rPr/>
              <w:t xml:space="preserve">Irritative </w:t>
            </w:r>
          </w:p>
        </w:tc>
        <w:tc>
          <w:tcPr>
            <w:tcW w:w="1076" w:type="dxa"/>
            <w:tcBorders/>
            <w:vAlign w:val="center"/>
          </w:tcPr>
          <w:p>
            <w:pPr>
              <w:pStyle w:val="TableContents"/>
              <w:bidi w:val="0"/>
              <w:spacing w:before="0" w:after="283"/>
              <w:jc w:val="start"/>
              <w:rPr/>
            </w:pPr>
            <w:r>
              <w:rPr/>
              <w:t xml:space="preserve">obstructive </w:t>
            </w:r>
          </w:p>
        </w:tc>
        <w:tc>
          <w:tcPr>
            <w:tcW w:w="651" w:type="dxa"/>
            <w:tcBorders/>
            <w:vAlign w:val="center"/>
          </w:tcPr>
          <w:p>
            <w:pPr>
              <w:pStyle w:val="TableContents"/>
              <w:bidi w:val="0"/>
              <w:spacing w:before="0" w:after="283"/>
              <w:jc w:val="start"/>
              <w:rPr/>
            </w:pPr>
            <w:r>
              <w:rPr/>
              <w:t xml:space="preserve">total </w:t>
            </w:r>
          </w:p>
        </w:tc>
      </w:tr>
      <w:tr>
        <w:trPr/>
        <w:tc>
          <w:tcPr>
            <w:tcW w:w="1524" w:type="dxa"/>
            <w:tcBorders/>
            <w:vAlign w:val="center"/>
          </w:tcPr>
          <w:p>
            <w:pPr>
              <w:pStyle w:val="TableContents"/>
              <w:bidi w:val="0"/>
              <w:spacing w:before="0" w:after="283"/>
              <w:jc w:val="start"/>
              <w:rPr/>
            </w:pPr>
            <w:r>
              <w:rPr/>
              <w:t xml:space="preserve">Mild(stages 1, 2) </w:t>
            </w:r>
          </w:p>
        </w:tc>
        <w:tc>
          <w:tcPr>
            <w:tcW w:w="464" w:type="dxa"/>
            <w:tcBorders/>
            <w:vAlign w:val="center"/>
          </w:tcPr>
          <w:p>
            <w:pPr>
              <w:pStyle w:val="TableContents"/>
              <w:bidi w:val="0"/>
              <w:spacing w:before="0" w:after="283"/>
              <w:jc w:val="start"/>
              <w:rPr/>
            </w:pPr>
            <w:r>
              <w:rPr/>
              <w:t xml:space="preserve">14 </w:t>
            </w:r>
          </w:p>
        </w:tc>
        <w:tc>
          <w:tcPr>
            <w:tcW w:w="900" w:type="dxa"/>
            <w:tcBorders/>
            <w:vAlign w:val="center"/>
          </w:tcPr>
          <w:p>
            <w:pPr>
              <w:pStyle w:val="TableContents"/>
              <w:bidi w:val="0"/>
              <w:spacing w:before="0" w:after="283"/>
              <w:jc w:val="start"/>
              <w:rPr/>
            </w:pPr>
            <w:r>
              <w:rPr/>
              <w:t xml:space="preserve">6. 3±2. 1 </w:t>
            </w:r>
          </w:p>
        </w:tc>
        <w:tc>
          <w:tcPr>
            <w:tcW w:w="1076" w:type="dxa"/>
            <w:tcBorders/>
            <w:vAlign w:val="center"/>
          </w:tcPr>
          <w:p>
            <w:pPr>
              <w:pStyle w:val="TableContents"/>
              <w:bidi w:val="0"/>
              <w:spacing w:before="0" w:after="283"/>
              <w:jc w:val="start"/>
              <w:rPr/>
            </w:pPr>
            <w:r>
              <w:rPr/>
              <w:t xml:space="preserve">1. 4±1. 2 </w:t>
            </w:r>
          </w:p>
        </w:tc>
        <w:tc>
          <w:tcPr>
            <w:tcW w:w="651" w:type="dxa"/>
            <w:tcBorders/>
            <w:vAlign w:val="center"/>
          </w:tcPr>
          <w:p>
            <w:pPr>
              <w:pStyle w:val="TableContents"/>
              <w:bidi w:val="0"/>
              <w:spacing w:before="0" w:after="283"/>
              <w:jc w:val="start"/>
              <w:rPr/>
            </w:pPr>
            <w:r>
              <w:rPr/>
              <w:t xml:space="preserve">7. 6±2. 4 </w:t>
            </w:r>
          </w:p>
        </w:tc>
      </w:tr>
      <w:tr>
        <w:trPr/>
        <w:tc>
          <w:tcPr>
            <w:tcW w:w="1524" w:type="dxa"/>
            <w:tcBorders/>
            <w:vAlign w:val="center"/>
          </w:tcPr>
          <w:p>
            <w:pPr>
              <w:pStyle w:val="TableContents"/>
              <w:bidi w:val="0"/>
              <w:spacing w:before="0" w:after="283"/>
              <w:jc w:val="start"/>
              <w:rPr/>
            </w:pPr>
            <w:r>
              <w:rPr/>
              <w:t xml:space="preserve">Moderate(stage 3) </w:t>
            </w:r>
          </w:p>
        </w:tc>
        <w:tc>
          <w:tcPr>
            <w:tcW w:w="464" w:type="dxa"/>
            <w:tcBorders/>
            <w:vAlign w:val="center"/>
          </w:tcPr>
          <w:p>
            <w:pPr>
              <w:pStyle w:val="TableContents"/>
              <w:bidi w:val="0"/>
              <w:spacing w:before="0" w:after="283"/>
              <w:jc w:val="start"/>
              <w:rPr/>
            </w:pPr>
            <w:r>
              <w:rPr/>
              <w:t xml:space="preserve">29 </w:t>
            </w:r>
          </w:p>
        </w:tc>
        <w:tc>
          <w:tcPr>
            <w:tcW w:w="900" w:type="dxa"/>
            <w:tcBorders/>
            <w:vAlign w:val="center"/>
          </w:tcPr>
          <w:p>
            <w:pPr>
              <w:pStyle w:val="TableContents"/>
              <w:bidi w:val="0"/>
              <w:spacing w:before="0" w:after="283"/>
              <w:jc w:val="start"/>
              <w:rPr/>
            </w:pPr>
            <w:r>
              <w:rPr/>
              <w:t xml:space="preserve">7. 9±3. 2 </w:t>
            </w:r>
          </w:p>
        </w:tc>
        <w:tc>
          <w:tcPr>
            <w:tcW w:w="1076" w:type="dxa"/>
            <w:tcBorders/>
            <w:vAlign w:val="center"/>
          </w:tcPr>
          <w:p>
            <w:pPr>
              <w:pStyle w:val="TableContents"/>
              <w:bidi w:val="0"/>
              <w:spacing w:before="0" w:after="283"/>
              <w:jc w:val="start"/>
              <w:rPr/>
            </w:pPr>
            <w:r>
              <w:rPr/>
              <w:t xml:space="preserve">3. 3±2. 6 </w:t>
            </w:r>
          </w:p>
        </w:tc>
        <w:tc>
          <w:tcPr>
            <w:tcW w:w="651" w:type="dxa"/>
            <w:tcBorders/>
            <w:vAlign w:val="center"/>
          </w:tcPr>
          <w:p>
            <w:pPr>
              <w:pStyle w:val="TableContents"/>
              <w:bidi w:val="0"/>
              <w:spacing w:before="0" w:after="283"/>
              <w:jc w:val="start"/>
              <w:rPr/>
            </w:pPr>
            <w:r>
              <w:rPr/>
              <w:t xml:space="preserve">11. 2±4. 5 </w:t>
            </w:r>
          </w:p>
        </w:tc>
      </w:tr>
      <w:tr>
        <w:trPr/>
        <w:tc>
          <w:tcPr>
            <w:tcW w:w="1524" w:type="dxa"/>
            <w:tcBorders/>
            <w:vAlign w:val="center"/>
          </w:tcPr>
          <w:p>
            <w:pPr>
              <w:pStyle w:val="TableContents"/>
              <w:bidi w:val="0"/>
              <w:spacing w:before="0" w:after="283"/>
              <w:jc w:val="start"/>
              <w:rPr/>
            </w:pPr>
            <w:r>
              <w:rPr/>
              <w:t xml:space="preserve">Severe(stages 4, 5) </w:t>
            </w:r>
          </w:p>
        </w:tc>
        <w:tc>
          <w:tcPr>
            <w:tcW w:w="464" w:type="dxa"/>
            <w:tcBorders/>
            <w:vAlign w:val="center"/>
          </w:tcPr>
          <w:p>
            <w:pPr>
              <w:pStyle w:val="TableContents"/>
              <w:bidi w:val="0"/>
              <w:spacing w:before="0" w:after="283"/>
              <w:jc w:val="start"/>
              <w:rPr/>
            </w:pPr>
            <w:r>
              <w:rPr/>
              <w:t xml:space="preserve">6 </w:t>
            </w:r>
          </w:p>
        </w:tc>
        <w:tc>
          <w:tcPr>
            <w:tcW w:w="900" w:type="dxa"/>
            <w:tcBorders/>
            <w:vAlign w:val="center"/>
          </w:tcPr>
          <w:p>
            <w:pPr>
              <w:pStyle w:val="TableContents"/>
              <w:bidi w:val="0"/>
              <w:spacing w:before="0" w:after="283"/>
              <w:jc w:val="start"/>
              <w:rPr/>
            </w:pPr>
            <w:r>
              <w:rPr/>
              <w:t xml:space="preserve">10. 4±2. 7 </w:t>
            </w:r>
          </w:p>
        </w:tc>
        <w:tc>
          <w:tcPr>
            <w:tcW w:w="1076" w:type="dxa"/>
            <w:tcBorders/>
            <w:vAlign w:val="center"/>
          </w:tcPr>
          <w:p>
            <w:pPr>
              <w:pStyle w:val="TableContents"/>
              <w:bidi w:val="0"/>
              <w:spacing w:before="0" w:after="283"/>
              <w:jc w:val="start"/>
              <w:rPr/>
            </w:pPr>
            <w:r>
              <w:rPr/>
              <w:t xml:space="preserve">6. 2±3. 5 </w:t>
            </w:r>
          </w:p>
        </w:tc>
        <w:tc>
          <w:tcPr>
            <w:tcW w:w="651" w:type="dxa"/>
            <w:tcBorders/>
            <w:vAlign w:val="center"/>
          </w:tcPr>
          <w:p>
            <w:pPr>
              <w:pStyle w:val="TableContents"/>
              <w:bidi w:val="0"/>
              <w:spacing w:before="0" w:after="283"/>
              <w:jc w:val="start"/>
              <w:rPr/>
            </w:pPr>
            <w:r>
              <w:rPr/>
              <w:t xml:space="preserve">16. 6±5. 1 </w:t>
            </w:r>
          </w:p>
        </w:tc>
      </w:tr>
    </w:tbl>
    <w:p>
      <w:pPr>
        <w:pStyle w:val="TextBody"/>
        <w:bidi w:val="0"/>
        <w:spacing w:before="0" w:after="283"/>
        <w:jc w:val="start"/>
        <w:rPr/>
      </w:pPr>
      <w:r>
        <w:rPr/>
        <w:t xml:space="preserve">One-way ANOVA P = 0. 001 </w:t>
      </w:r>
    </w:p>
    <w:p>
      <w:pPr>
        <w:pStyle w:val="TextBody"/>
        <w:bidi w:val="0"/>
        <w:spacing w:before="0" w:after="283"/>
        <w:jc w:val="start"/>
        <w:rPr/>
      </w:pPr>
      <w:r>
        <w:rPr/>
        <w:t xml:space="preserve">Table 3. Correlation between IPSS and Quality of life scores at different stages of disease severity </w:t>
      </w:r>
    </w:p>
    <w:tbl>
      <w:tblPr>
        <w:tblW w:w="4615" w:type="dxa"/>
        <w:jc w:val="start"/>
        <w:tblInd w:w="0" w:type="dxa"/>
        <w:tblLayout w:type="fixed"/>
        <w:tblCellMar>
          <w:top w:w="0" w:type="dxa"/>
          <w:start w:w="0" w:type="dxa"/>
          <w:bottom w:w="0" w:type="dxa"/>
          <w:end w:w="0" w:type="dxa"/>
        </w:tblCellMar>
      </w:tblPr>
      <w:tblGrid>
        <w:gridCol w:w="2004"/>
        <w:gridCol w:w="1030"/>
        <w:gridCol w:w="1581"/>
      </w:tblGrid>
      <w:tr>
        <w:trPr/>
        <w:tc>
          <w:tcPr>
            <w:tcW w:w="2004" w:type="dxa"/>
            <w:tcBorders/>
            <w:vAlign w:val="center"/>
          </w:tcPr>
          <w:p>
            <w:pPr>
              <w:pStyle w:val="TableContents"/>
              <w:bidi w:val="0"/>
              <w:spacing w:before="0" w:after="283"/>
              <w:jc w:val="start"/>
              <w:rPr/>
            </w:pPr>
            <w:r>
              <w:rPr/>
              <w:t xml:space="preserve">Stages of disease severity </w:t>
            </w:r>
          </w:p>
        </w:tc>
        <w:tc>
          <w:tcPr>
            <w:tcW w:w="1030" w:type="dxa"/>
            <w:tcBorders/>
            <w:vAlign w:val="center"/>
          </w:tcPr>
          <w:p>
            <w:pPr>
              <w:pStyle w:val="TableContents"/>
              <w:bidi w:val="0"/>
              <w:jc w:val="start"/>
              <w:rPr/>
            </w:pPr>
            <w:r>
              <w:rPr/>
              <w:t xml:space="preserve">Total I-PSS </w:t>
            </w:r>
          </w:p>
          <w:p>
            <w:pPr>
              <w:pStyle w:val="TableContents"/>
              <w:bidi w:val="0"/>
              <w:spacing w:before="0" w:after="283"/>
              <w:jc w:val="start"/>
              <w:rPr/>
            </w:pPr>
            <w:r>
              <w:rPr/>
              <w:t xml:space="preserve">mean±SD </w:t>
            </w:r>
          </w:p>
        </w:tc>
        <w:tc>
          <w:tcPr>
            <w:tcW w:w="1581" w:type="dxa"/>
            <w:tcBorders/>
            <w:vAlign w:val="center"/>
          </w:tcPr>
          <w:p>
            <w:pPr>
              <w:pStyle w:val="TableContents"/>
              <w:bidi w:val="0"/>
              <w:jc w:val="start"/>
              <w:rPr/>
            </w:pPr>
            <w:r>
              <w:rPr/>
              <w:t xml:space="preserve">Quality of life score </w:t>
            </w:r>
          </w:p>
          <w:p>
            <w:pPr>
              <w:pStyle w:val="TableContents"/>
              <w:bidi w:val="0"/>
              <w:spacing w:before="0" w:after="283"/>
              <w:jc w:val="start"/>
              <w:rPr/>
            </w:pPr>
            <w:r>
              <w:rPr/>
              <w:t xml:space="preserve">mean±SD </w:t>
            </w:r>
          </w:p>
        </w:tc>
      </w:tr>
      <w:tr>
        <w:trPr/>
        <w:tc>
          <w:tcPr>
            <w:tcW w:w="2004" w:type="dxa"/>
            <w:tcBorders/>
            <w:vAlign w:val="center"/>
          </w:tcPr>
          <w:p>
            <w:pPr>
              <w:pStyle w:val="TableContents"/>
              <w:bidi w:val="0"/>
              <w:spacing w:before="0" w:after="283"/>
              <w:jc w:val="start"/>
              <w:rPr/>
            </w:pPr>
            <w:r>
              <w:rPr/>
              <w:t xml:space="preserve">Mild (stages 1, 2) </w:t>
            </w:r>
          </w:p>
        </w:tc>
        <w:tc>
          <w:tcPr>
            <w:tcW w:w="1030" w:type="dxa"/>
            <w:tcBorders/>
            <w:vAlign w:val="center"/>
          </w:tcPr>
          <w:p>
            <w:pPr>
              <w:pStyle w:val="TableContents"/>
              <w:bidi w:val="0"/>
              <w:spacing w:before="0" w:after="283"/>
              <w:jc w:val="start"/>
              <w:rPr/>
            </w:pPr>
            <w:r>
              <w:rPr/>
              <w:t xml:space="preserve">7. 6±2. 4 </w:t>
            </w:r>
          </w:p>
        </w:tc>
        <w:tc>
          <w:tcPr>
            <w:tcW w:w="1581" w:type="dxa"/>
            <w:tcBorders/>
            <w:vAlign w:val="center"/>
          </w:tcPr>
          <w:p>
            <w:pPr>
              <w:pStyle w:val="TableContents"/>
              <w:bidi w:val="0"/>
              <w:spacing w:before="0" w:after="283"/>
              <w:jc w:val="start"/>
              <w:rPr/>
            </w:pPr>
            <w:r>
              <w:rPr/>
              <w:t xml:space="preserve">2. 8±1. 9 </w:t>
            </w:r>
          </w:p>
        </w:tc>
      </w:tr>
      <w:tr>
        <w:trPr/>
        <w:tc>
          <w:tcPr>
            <w:tcW w:w="2004" w:type="dxa"/>
            <w:tcBorders/>
            <w:vAlign w:val="center"/>
          </w:tcPr>
          <w:p>
            <w:pPr>
              <w:pStyle w:val="TableContents"/>
              <w:bidi w:val="0"/>
              <w:spacing w:before="0" w:after="283"/>
              <w:jc w:val="start"/>
              <w:rPr/>
            </w:pPr>
            <w:r>
              <w:rPr/>
              <w:t xml:space="preserve">Moderate (stage 3) </w:t>
            </w:r>
          </w:p>
        </w:tc>
        <w:tc>
          <w:tcPr>
            <w:tcW w:w="1030" w:type="dxa"/>
            <w:tcBorders/>
            <w:vAlign w:val="center"/>
          </w:tcPr>
          <w:p>
            <w:pPr>
              <w:pStyle w:val="TableContents"/>
              <w:bidi w:val="0"/>
              <w:spacing w:before="0" w:after="283"/>
              <w:jc w:val="start"/>
              <w:rPr/>
            </w:pPr>
            <w:r>
              <w:rPr/>
              <w:t xml:space="preserve">11. 2±4. 5 </w:t>
            </w:r>
          </w:p>
        </w:tc>
        <w:tc>
          <w:tcPr>
            <w:tcW w:w="1581" w:type="dxa"/>
            <w:tcBorders/>
            <w:vAlign w:val="center"/>
          </w:tcPr>
          <w:p>
            <w:pPr>
              <w:pStyle w:val="TableContents"/>
              <w:bidi w:val="0"/>
              <w:spacing w:before="0" w:after="283"/>
              <w:jc w:val="start"/>
              <w:rPr/>
            </w:pPr>
            <w:r>
              <w:rPr/>
              <w:t xml:space="preserve">3. 7±1. 4 </w:t>
            </w:r>
          </w:p>
        </w:tc>
      </w:tr>
      <w:tr>
        <w:trPr/>
        <w:tc>
          <w:tcPr>
            <w:tcW w:w="2004" w:type="dxa"/>
            <w:tcBorders/>
            <w:vAlign w:val="center"/>
          </w:tcPr>
          <w:p>
            <w:pPr>
              <w:pStyle w:val="TableContents"/>
              <w:bidi w:val="0"/>
              <w:spacing w:before="0" w:after="283"/>
              <w:jc w:val="start"/>
              <w:rPr/>
            </w:pPr>
            <w:r>
              <w:rPr/>
              <w:t xml:space="preserve">Severe (stages 4, 5) </w:t>
            </w:r>
          </w:p>
        </w:tc>
        <w:tc>
          <w:tcPr>
            <w:tcW w:w="1030" w:type="dxa"/>
            <w:tcBorders/>
            <w:vAlign w:val="center"/>
          </w:tcPr>
          <w:p>
            <w:pPr>
              <w:pStyle w:val="TableContents"/>
              <w:bidi w:val="0"/>
              <w:spacing w:before="0" w:after="283"/>
              <w:jc w:val="start"/>
              <w:rPr/>
            </w:pPr>
            <w:r>
              <w:rPr/>
              <w:t xml:space="preserve">16. 6±5. 1 </w:t>
            </w:r>
          </w:p>
        </w:tc>
        <w:tc>
          <w:tcPr>
            <w:tcW w:w="1581" w:type="dxa"/>
            <w:tcBorders/>
            <w:vAlign w:val="center"/>
          </w:tcPr>
          <w:p>
            <w:pPr>
              <w:pStyle w:val="TableContents"/>
              <w:bidi w:val="0"/>
              <w:spacing w:before="0" w:after="283"/>
              <w:jc w:val="start"/>
              <w:rPr/>
            </w:pPr>
            <w:r>
              <w:rPr/>
              <w:t xml:space="preserve">5. 2±1. 1 </w:t>
            </w:r>
          </w:p>
        </w:tc>
      </w:tr>
    </w:tbl>
    <w:p>
      <w:pPr>
        <w:pStyle w:val="TextBody"/>
        <w:bidi w:val="0"/>
        <w:spacing w:before="0" w:after="283"/>
        <w:jc w:val="start"/>
        <w:rPr/>
      </w:pPr>
      <w:r>
        <w:rPr/>
        <w:t xml:space="preserve">One-way ANOVA P= 0. 003 </w:t>
      </w:r>
    </w:p>
    <w:p>
      <w:pPr>
        <w:pStyle w:val="TextBody"/>
        <w:bidi w:val="0"/>
        <w:spacing w:before="0" w:after="283"/>
        <w:jc w:val="start"/>
        <w:rPr/>
      </w:pPr>
      <w:r>
        <w:rPr/>
        <w:t xml:space="preserve">Table 4. The frequency of urodynamic findings in IPD patients </w:t>
      </w:r>
    </w:p>
    <w:tbl>
      <w:tblPr>
        <w:tblW w:w="4615" w:type="dxa"/>
        <w:jc w:val="start"/>
        <w:tblInd w:w="0" w:type="dxa"/>
        <w:tblLayout w:type="fixed"/>
        <w:tblCellMar>
          <w:top w:w="0" w:type="dxa"/>
          <w:start w:w="0" w:type="dxa"/>
          <w:bottom w:w="0" w:type="dxa"/>
          <w:end w:w="0" w:type="dxa"/>
        </w:tblCellMar>
      </w:tblPr>
      <w:tblGrid>
        <w:gridCol w:w="784"/>
        <w:gridCol w:w="446"/>
        <w:gridCol w:w="774"/>
        <w:gridCol w:w="1334"/>
        <w:gridCol w:w="1277"/>
      </w:tblGrid>
      <w:tr>
        <w:trPr/>
        <w:tc>
          <w:tcPr>
            <w:tcW w:w="784" w:type="dxa"/>
            <w:tcBorders/>
            <w:vAlign w:val="center"/>
          </w:tcPr>
          <w:p>
            <w:pPr>
              <w:pStyle w:val="TableContents"/>
              <w:bidi w:val="0"/>
              <w:spacing w:before="0" w:after="283"/>
              <w:jc w:val="start"/>
              <w:rPr/>
            </w:pPr>
            <w:r>
              <w:rPr/>
              <w:t xml:space="preserve">Stages of H&amp;Y </w:t>
            </w:r>
          </w:p>
        </w:tc>
        <w:tc>
          <w:tcPr>
            <w:tcW w:w="446" w:type="dxa"/>
            <w:tcBorders/>
            <w:vAlign w:val="center"/>
          </w:tcPr>
          <w:p>
            <w:pPr>
              <w:pStyle w:val="TableContents"/>
              <w:bidi w:val="0"/>
              <w:spacing w:before="0" w:after="283"/>
              <w:jc w:val="start"/>
              <w:rPr/>
            </w:pPr>
            <w:r>
              <w:rPr/>
              <w:t xml:space="preserve">No. Pts </w:t>
            </w:r>
          </w:p>
        </w:tc>
        <w:tc>
          <w:tcPr>
            <w:tcW w:w="774" w:type="dxa"/>
            <w:tcBorders/>
            <w:vAlign w:val="center"/>
          </w:tcPr>
          <w:p>
            <w:pPr>
              <w:pStyle w:val="TableContents"/>
              <w:bidi w:val="0"/>
              <w:spacing w:before="0" w:after="283"/>
              <w:jc w:val="start"/>
              <w:rPr/>
            </w:pPr>
            <w:r>
              <w:rPr/>
              <w:t xml:space="preserve">Normal </w:t>
            </w:r>
          </w:p>
        </w:tc>
        <w:tc>
          <w:tcPr>
            <w:tcW w:w="1334" w:type="dxa"/>
            <w:tcBorders/>
            <w:vAlign w:val="center"/>
          </w:tcPr>
          <w:p>
            <w:pPr>
              <w:pStyle w:val="TableContents"/>
              <w:bidi w:val="0"/>
              <w:spacing w:before="0" w:after="283"/>
              <w:jc w:val="start"/>
              <w:rPr/>
            </w:pPr>
            <w:r>
              <w:rPr/>
              <w:t xml:space="preserve">Hyperreflexia </w:t>
            </w:r>
          </w:p>
        </w:tc>
        <w:tc>
          <w:tcPr>
            <w:tcW w:w="1277" w:type="dxa"/>
            <w:tcBorders/>
            <w:vAlign w:val="center"/>
          </w:tcPr>
          <w:p>
            <w:pPr>
              <w:pStyle w:val="TableContents"/>
              <w:bidi w:val="0"/>
              <w:spacing w:before="0" w:after="283"/>
              <w:jc w:val="start"/>
              <w:rPr/>
            </w:pPr>
            <w:r>
              <w:rPr/>
              <w:t xml:space="preserve">Hyporeflexia </w:t>
            </w:r>
          </w:p>
        </w:tc>
      </w:tr>
      <w:tr>
        <w:trPr/>
        <w:tc>
          <w:tcPr>
            <w:tcW w:w="784" w:type="dxa"/>
            <w:tcBorders/>
            <w:vAlign w:val="center"/>
          </w:tcPr>
          <w:p>
            <w:pPr>
              <w:pStyle w:val="TableContents"/>
              <w:bidi w:val="0"/>
              <w:spacing w:before="0" w:after="283"/>
              <w:jc w:val="start"/>
              <w:rPr/>
            </w:pPr>
            <w:r>
              <w:rPr/>
              <w:t xml:space="preserve">1 </w:t>
            </w:r>
          </w:p>
        </w:tc>
        <w:tc>
          <w:tcPr>
            <w:tcW w:w="446" w:type="dxa"/>
            <w:tcBorders/>
            <w:vAlign w:val="center"/>
          </w:tcPr>
          <w:p>
            <w:pPr>
              <w:pStyle w:val="TableContents"/>
              <w:bidi w:val="0"/>
              <w:spacing w:before="0" w:after="283"/>
              <w:jc w:val="start"/>
              <w:rPr/>
            </w:pPr>
            <w:r>
              <w:rPr/>
              <w:t xml:space="preserve">4 </w:t>
            </w:r>
          </w:p>
        </w:tc>
        <w:tc>
          <w:tcPr>
            <w:tcW w:w="774" w:type="dxa"/>
            <w:tcBorders/>
            <w:vAlign w:val="center"/>
          </w:tcPr>
          <w:p>
            <w:pPr>
              <w:pStyle w:val="TableContents"/>
              <w:bidi w:val="0"/>
              <w:spacing w:before="0" w:after="283"/>
              <w:jc w:val="start"/>
              <w:rPr/>
            </w:pPr>
            <w:r>
              <w:rPr/>
              <w:t xml:space="preserve">3 </w:t>
            </w:r>
          </w:p>
        </w:tc>
        <w:tc>
          <w:tcPr>
            <w:tcW w:w="1334" w:type="dxa"/>
            <w:tcBorders/>
            <w:vAlign w:val="center"/>
          </w:tcPr>
          <w:p>
            <w:pPr>
              <w:pStyle w:val="TableContents"/>
              <w:bidi w:val="0"/>
              <w:spacing w:before="0" w:after="283"/>
              <w:jc w:val="start"/>
              <w:rPr/>
            </w:pPr>
            <w:r>
              <w:rPr/>
              <w:t xml:space="preserve">1 </w:t>
            </w:r>
          </w:p>
        </w:tc>
        <w:tc>
          <w:tcPr>
            <w:tcW w:w="1277" w:type="dxa"/>
            <w:tcBorders/>
            <w:vAlign w:val="center"/>
          </w:tcPr>
          <w:p>
            <w:pPr>
              <w:pStyle w:val="TableContents"/>
              <w:bidi w:val="0"/>
              <w:spacing w:before="0" w:after="283"/>
              <w:jc w:val="start"/>
              <w:rPr/>
            </w:pPr>
            <w:r>
              <w:rPr/>
              <w:t xml:space="preserve">0 </w:t>
            </w:r>
          </w:p>
        </w:tc>
      </w:tr>
      <w:tr>
        <w:trPr/>
        <w:tc>
          <w:tcPr>
            <w:tcW w:w="784" w:type="dxa"/>
            <w:tcBorders/>
            <w:vAlign w:val="center"/>
          </w:tcPr>
          <w:p>
            <w:pPr>
              <w:pStyle w:val="TableContents"/>
              <w:bidi w:val="0"/>
              <w:spacing w:before="0" w:after="283"/>
              <w:jc w:val="start"/>
              <w:rPr/>
            </w:pPr>
            <w:r>
              <w:rPr/>
              <w:t xml:space="preserve">2 </w:t>
            </w:r>
          </w:p>
        </w:tc>
        <w:tc>
          <w:tcPr>
            <w:tcW w:w="446" w:type="dxa"/>
            <w:tcBorders/>
            <w:vAlign w:val="center"/>
          </w:tcPr>
          <w:p>
            <w:pPr>
              <w:pStyle w:val="TableContents"/>
              <w:bidi w:val="0"/>
              <w:spacing w:before="0" w:after="283"/>
              <w:jc w:val="start"/>
              <w:rPr/>
            </w:pPr>
            <w:r>
              <w:rPr/>
              <w:t xml:space="preserve">10 </w:t>
            </w:r>
          </w:p>
        </w:tc>
        <w:tc>
          <w:tcPr>
            <w:tcW w:w="774" w:type="dxa"/>
            <w:tcBorders/>
            <w:vAlign w:val="center"/>
          </w:tcPr>
          <w:p>
            <w:pPr>
              <w:pStyle w:val="TableContents"/>
              <w:bidi w:val="0"/>
              <w:spacing w:before="0" w:after="283"/>
              <w:jc w:val="start"/>
              <w:rPr/>
            </w:pPr>
            <w:r>
              <w:rPr/>
              <w:t xml:space="preserve">3 </w:t>
            </w:r>
          </w:p>
        </w:tc>
        <w:tc>
          <w:tcPr>
            <w:tcW w:w="1334" w:type="dxa"/>
            <w:tcBorders/>
            <w:vAlign w:val="center"/>
          </w:tcPr>
          <w:p>
            <w:pPr>
              <w:pStyle w:val="TableContents"/>
              <w:bidi w:val="0"/>
              <w:spacing w:before="0" w:after="283"/>
              <w:jc w:val="start"/>
              <w:rPr/>
            </w:pPr>
            <w:r>
              <w:rPr/>
              <w:t xml:space="preserve">7 </w:t>
            </w:r>
          </w:p>
        </w:tc>
        <w:tc>
          <w:tcPr>
            <w:tcW w:w="1277" w:type="dxa"/>
            <w:tcBorders/>
            <w:vAlign w:val="center"/>
          </w:tcPr>
          <w:p>
            <w:pPr>
              <w:pStyle w:val="TableContents"/>
              <w:bidi w:val="0"/>
              <w:spacing w:before="0" w:after="283"/>
              <w:jc w:val="start"/>
              <w:rPr/>
            </w:pPr>
            <w:r>
              <w:rPr/>
              <w:t xml:space="preserve">0 </w:t>
            </w:r>
          </w:p>
        </w:tc>
      </w:tr>
      <w:tr>
        <w:trPr/>
        <w:tc>
          <w:tcPr>
            <w:tcW w:w="784" w:type="dxa"/>
            <w:tcBorders/>
            <w:vAlign w:val="center"/>
          </w:tcPr>
          <w:p>
            <w:pPr>
              <w:pStyle w:val="TableContents"/>
              <w:bidi w:val="0"/>
              <w:spacing w:before="0" w:after="283"/>
              <w:jc w:val="start"/>
              <w:rPr/>
            </w:pPr>
            <w:r>
              <w:rPr/>
              <w:t xml:space="preserve">3 </w:t>
            </w:r>
          </w:p>
        </w:tc>
        <w:tc>
          <w:tcPr>
            <w:tcW w:w="446" w:type="dxa"/>
            <w:tcBorders/>
            <w:vAlign w:val="center"/>
          </w:tcPr>
          <w:p>
            <w:pPr>
              <w:pStyle w:val="TableContents"/>
              <w:bidi w:val="0"/>
              <w:spacing w:before="0" w:after="283"/>
              <w:jc w:val="start"/>
              <w:rPr/>
            </w:pPr>
            <w:r>
              <w:rPr/>
              <w:t xml:space="preserve">29 </w:t>
            </w:r>
          </w:p>
        </w:tc>
        <w:tc>
          <w:tcPr>
            <w:tcW w:w="774" w:type="dxa"/>
            <w:tcBorders/>
            <w:vAlign w:val="center"/>
          </w:tcPr>
          <w:p>
            <w:pPr>
              <w:pStyle w:val="TableContents"/>
              <w:bidi w:val="0"/>
              <w:spacing w:before="0" w:after="283"/>
              <w:jc w:val="start"/>
              <w:rPr/>
            </w:pPr>
            <w:r>
              <w:rPr/>
              <w:t xml:space="preserve">4 </w:t>
            </w:r>
          </w:p>
        </w:tc>
        <w:tc>
          <w:tcPr>
            <w:tcW w:w="1334" w:type="dxa"/>
            <w:tcBorders/>
            <w:vAlign w:val="center"/>
          </w:tcPr>
          <w:p>
            <w:pPr>
              <w:pStyle w:val="TableContents"/>
              <w:bidi w:val="0"/>
              <w:spacing w:before="0" w:after="283"/>
              <w:jc w:val="start"/>
              <w:rPr/>
            </w:pPr>
            <w:r>
              <w:rPr/>
              <w:t xml:space="preserve">20 </w:t>
            </w:r>
          </w:p>
        </w:tc>
        <w:tc>
          <w:tcPr>
            <w:tcW w:w="1277" w:type="dxa"/>
            <w:tcBorders/>
            <w:vAlign w:val="center"/>
          </w:tcPr>
          <w:p>
            <w:pPr>
              <w:pStyle w:val="TableContents"/>
              <w:bidi w:val="0"/>
              <w:spacing w:before="0" w:after="283"/>
              <w:jc w:val="start"/>
              <w:rPr/>
            </w:pPr>
            <w:r>
              <w:rPr/>
              <w:t xml:space="preserve">5 </w:t>
            </w:r>
          </w:p>
        </w:tc>
      </w:tr>
      <w:tr>
        <w:trPr/>
        <w:tc>
          <w:tcPr>
            <w:tcW w:w="784" w:type="dxa"/>
            <w:tcBorders/>
            <w:vAlign w:val="center"/>
          </w:tcPr>
          <w:p>
            <w:pPr>
              <w:pStyle w:val="TableContents"/>
              <w:bidi w:val="0"/>
              <w:spacing w:before="0" w:after="283"/>
              <w:jc w:val="start"/>
              <w:rPr/>
            </w:pPr>
            <w:r>
              <w:rPr/>
              <w:t xml:space="preserve">4 </w:t>
            </w:r>
          </w:p>
        </w:tc>
        <w:tc>
          <w:tcPr>
            <w:tcW w:w="446" w:type="dxa"/>
            <w:tcBorders/>
            <w:vAlign w:val="center"/>
          </w:tcPr>
          <w:p>
            <w:pPr>
              <w:pStyle w:val="TableContents"/>
              <w:bidi w:val="0"/>
              <w:spacing w:before="0" w:after="283"/>
              <w:jc w:val="start"/>
              <w:rPr/>
            </w:pPr>
            <w:r>
              <w:rPr/>
              <w:t xml:space="preserve">5 </w:t>
            </w:r>
          </w:p>
        </w:tc>
        <w:tc>
          <w:tcPr>
            <w:tcW w:w="774" w:type="dxa"/>
            <w:tcBorders/>
            <w:vAlign w:val="center"/>
          </w:tcPr>
          <w:p>
            <w:pPr>
              <w:pStyle w:val="TableContents"/>
              <w:bidi w:val="0"/>
              <w:spacing w:before="0" w:after="283"/>
              <w:jc w:val="start"/>
              <w:rPr/>
            </w:pPr>
            <w:r>
              <w:rPr/>
              <w:t xml:space="preserve">0 </w:t>
            </w:r>
          </w:p>
        </w:tc>
        <w:tc>
          <w:tcPr>
            <w:tcW w:w="1334" w:type="dxa"/>
            <w:tcBorders/>
            <w:vAlign w:val="center"/>
          </w:tcPr>
          <w:p>
            <w:pPr>
              <w:pStyle w:val="TableContents"/>
              <w:bidi w:val="0"/>
              <w:spacing w:before="0" w:after="283"/>
              <w:jc w:val="start"/>
              <w:rPr/>
            </w:pPr>
            <w:r>
              <w:rPr/>
              <w:t xml:space="preserve">4 </w:t>
            </w:r>
          </w:p>
        </w:tc>
        <w:tc>
          <w:tcPr>
            <w:tcW w:w="1277" w:type="dxa"/>
            <w:tcBorders/>
            <w:vAlign w:val="center"/>
          </w:tcPr>
          <w:p>
            <w:pPr>
              <w:pStyle w:val="TableContents"/>
              <w:bidi w:val="0"/>
              <w:spacing w:before="0" w:after="283"/>
              <w:jc w:val="start"/>
              <w:rPr/>
            </w:pPr>
            <w:r>
              <w:rPr/>
              <w:t xml:space="preserve">1 </w:t>
            </w:r>
          </w:p>
        </w:tc>
      </w:tr>
      <w:tr>
        <w:trPr/>
        <w:tc>
          <w:tcPr>
            <w:tcW w:w="784" w:type="dxa"/>
            <w:tcBorders/>
            <w:vAlign w:val="center"/>
          </w:tcPr>
          <w:p>
            <w:pPr>
              <w:pStyle w:val="TableContents"/>
              <w:bidi w:val="0"/>
              <w:spacing w:before="0" w:after="283"/>
              <w:jc w:val="start"/>
              <w:rPr/>
            </w:pPr>
            <w:r>
              <w:rPr/>
              <w:t xml:space="preserve">5 </w:t>
            </w:r>
          </w:p>
        </w:tc>
        <w:tc>
          <w:tcPr>
            <w:tcW w:w="446" w:type="dxa"/>
            <w:tcBorders/>
            <w:vAlign w:val="center"/>
          </w:tcPr>
          <w:p>
            <w:pPr>
              <w:pStyle w:val="TableContents"/>
              <w:bidi w:val="0"/>
              <w:spacing w:before="0" w:after="283"/>
              <w:jc w:val="start"/>
              <w:rPr/>
            </w:pPr>
            <w:r>
              <w:rPr/>
              <w:t xml:space="preserve">1 </w:t>
            </w:r>
          </w:p>
        </w:tc>
        <w:tc>
          <w:tcPr>
            <w:tcW w:w="774" w:type="dxa"/>
            <w:tcBorders/>
            <w:vAlign w:val="center"/>
          </w:tcPr>
          <w:p>
            <w:pPr>
              <w:pStyle w:val="TableContents"/>
              <w:bidi w:val="0"/>
              <w:spacing w:before="0" w:after="283"/>
              <w:jc w:val="start"/>
              <w:rPr/>
            </w:pPr>
            <w:r>
              <w:rPr/>
              <w:t xml:space="preserve">0 </w:t>
            </w:r>
          </w:p>
        </w:tc>
        <w:tc>
          <w:tcPr>
            <w:tcW w:w="1334" w:type="dxa"/>
            <w:tcBorders/>
            <w:vAlign w:val="center"/>
          </w:tcPr>
          <w:p>
            <w:pPr>
              <w:pStyle w:val="TableContents"/>
              <w:bidi w:val="0"/>
              <w:spacing w:before="0" w:after="283"/>
              <w:jc w:val="start"/>
              <w:rPr/>
            </w:pPr>
            <w:r>
              <w:rPr/>
              <w:t xml:space="preserve">1 </w:t>
            </w:r>
          </w:p>
        </w:tc>
        <w:tc>
          <w:tcPr>
            <w:tcW w:w="1277" w:type="dxa"/>
            <w:tcBorders/>
            <w:vAlign w:val="center"/>
          </w:tcPr>
          <w:p>
            <w:pPr>
              <w:pStyle w:val="TableContents"/>
              <w:bidi w:val="0"/>
              <w:spacing w:before="0" w:after="283"/>
              <w:jc w:val="start"/>
              <w:rPr/>
            </w:pPr>
            <w:r>
              <w:rPr/>
              <w:t xml:space="preserve">0 </w:t>
            </w:r>
          </w:p>
        </w:tc>
      </w:tr>
      <w:tr>
        <w:trPr/>
        <w:tc>
          <w:tcPr>
            <w:tcW w:w="784" w:type="dxa"/>
            <w:tcBorders/>
            <w:vAlign w:val="center"/>
          </w:tcPr>
          <w:p>
            <w:pPr>
              <w:pStyle w:val="TableContents"/>
              <w:bidi w:val="0"/>
              <w:spacing w:before="0" w:after="283"/>
              <w:jc w:val="start"/>
              <w:rPr/>
            </w:pPr>
            <w:r>
              <w:rPr/>
              <w:t xml:space="preserve">Total No. (%) </w:t>
            </w:r>
          </w:p>
        </w:tc>
        <w:tc>
          <w:tcPr>
            <w:tcW w:w="446" w:type="dxa"/>
            <w:tcBorders/>
            <w:vAlign w:val="center"/>
          </w:tcPr>
          <w:p>
            <w:pPr>
              <w:pStyle w:val="TableContents"/>
              <w:bidi w:val="0"/>
              <w:spacing w:before="0" w:after="283"/>
              <w:jc w:val="start"/>
              <w:rPr/>
            </w:pPr>
            <w:r>
              <w:rPr/>
              <w:t xml:space="preserve">49 </w:t>
            </w:r>
          </w:p>
        </w:tc>
        <w:tc>
          <w:tcPr>
            <w:tcW w:w="774" w:type="dxa"/>
            <w:tcBorders/>
            <w:vAlign w:val="center"/>
          </w:tcPr>
          <w:p>
            <w:pPr>
              <w:pStyle w:val="TableContents"/>
              <w:bidi w:val="0"/>
              <w:spacing w:before="0" w:after="283"/>
              <w:jc w:val="start"/>
              <w:rPr/>
            </w:pPr>
            <w:r>
              <w:rPr/>
              <w:t xml:space="preserve">10(20. 4) </w:t>
            </w:r>
          </w:p>
        </w:tc>
        <w:tc>
          <w:tcPr>
            <w:tcW w:w="1334" w:type="dxa"/>
            <w:tcBorders/>
            <w:vAlign w:val="center"/>
          </w:tcPr>
          <w:p>
            <w:pPr>
              <w:pStyle w:val="TableContents"/>
              <w:bidi w:val="0"/>
              <w:spacing w:before="0" w:after="283"/>
              <w:jc w:val="start"/>
              <w:rPr/>
            </w:pPr>
            <w:r>
              <w:rPr/>
              <w:t xml:space="preserve">33(67. 3) </w:t>
            </w:r>
          </w:p>
        </w:tc>
        <w:tc>
          <w:tcPr>
            <w:tcW w:w="1277" w:type="dxa"/>
            <w:tcBorders/>
            <w:vAlign w:val="center"/>
          </w:tcPr>
          <w:p>
            <w:pPr>
              <w:pStyle w:val="TableContents"/>
              <w:bidi w:val="0"/>
              <w:spacing w:before="0" w:after="283"/>
              <w:jc w:val="start"/>
              <w:rPr/>
            </w:pPr>
            <w:r>
              <w:rPr/>
              <w:t xml:space="preserve">6(12. 2) </w:t>
            </w:r>
          </w:p>
        </w:tc>
      </w:tr>
    </w:tbl>
    <w:p>
      <w:pPr>
        <w:pStyle w:val="TextBody"/>
        <w:bidi w:val="0"/>
        <w:spacing w:before="0" w:after="283"/>
        <w:jc w:val="start"/>
        <w:rPr/>
      </w:pPr>
      <w:r>
        <w:rPr/>
        <w:t xml:space="preserve">Table 5. Urodynamic parameters at different stages of severity of IPD </w:t>
      </w:r>
    </w:p>
    <w:tbl>
      <w:tblPr>
        <w:tblW w:w="4615" w:type="dxa"/>
        <w:jc w:val="start"/>
        <w:tblInd w:w="0" w:type="dxa"/>
        <w:tblLayout w:type="fixed"/>
        <w:tblCellMar>
          <w:top w:w="0" w:type="dxa"/>
          <w:start w:w="0" w:type="dxa"/>
          <w:bottom w:w="0" w:type="dxa"/>
          <w:end w:w="0" w:type="dxa"/>
        </w:tblCellMar>
      </w:tblPr>
      <w:tblGrid>
        <w:gridCol w:w="920"/>
        <w:gridCol w:w="785"/>
        <w:gridCol w:w="995"/>
        <w:gridCol w:w="995"/>
        <w:gridCol w:w="920"/>
      </w:tblGrid>
      <w:tr>
        <w:trPr/>
        <w:tc>
          <w:tcPr>
            <w:tcW w:w="920" w:type="dxa"/>
            <w:tcBorders/>
            <w:vAlign w:val="center"/>
          </w:tcPr>
          <w:p>
            <w:pPr>
              <w:pStyle w:val="TableContents"/>
              <w:bidi w:val="0"/>
              <w:spacing w:before="0" w:after="283"/>
              <w:jc w:val="start"/>
              <w:rPr/>
            </w:pPr>
            <w:r>
              <w:rPr/>
              <w:t xml:space="preserve">Stages of disease severity </w:t>
            </w:r>
          </w:p>
        </w:tc>
        <w:tc>
          <w:tcPr>
            <w:tcW w:w="785" w:type="dxa"/>
            <w:tcBorders/>
            <w:vAlign w:val="center"/>
          </w:tcPr>
          <w:p>
            <w:pPr>
              <w:pStyle w:val="TableContents"/>
              <w:bidi w:val="0"/>
              <w:jc w:val="start"/>
              <w:rPr/>
            </w:pPr>
            <w:r>
              <w:rPr/>
              <w:t xml:space="preserve">Volume at initial desire to void </w:t>
            </w:r>
          </w:p>
          <w:p>
            <w:pPr>
              <w:pStyle w:val="TableContents"/>
              <w:bidi w:val="0"/>
              <w:spacing w:before="0" w:after="283"/>
              <w:jc w:val="start"/>
              <w:rPr/>
            </w:pPr>
            <w:r>
              <w:rPr/>
              <w:t xml:space="preserve">(mean±SD)(ml.) </w:t>
            </w:r>
          </w:p>
        </w:tc>
        <w:tc>
          <w:tcPr>
            <w:tcW w:w="995" w:type="dxa"/>
            <w:tcBorders/>
            <w:vAlign w:val="center"/>
          </w:tcPr>
          <w:p>
            <w:pPr>
              <w:pStyle w:val="TableContents"/>
              <w:bidi w:val="0"/>
              <w:jc w:val="start"/>
              <w:rPr/>
            </w:pPr>
            <w:r>
              <w:rPr/>
              <w:t xml:space="preserve">Maximum </w:t>
            </w:r>
          </w:p>
          <w:p>
            <w:pPr>
              <w:pStyle w:val="TableContents"/>
              <w:bidi w:val="0"/>
              <w:jc w:val="start"/>
              <w:rPr/>
            </w:pPr>
            <w:r>
              <w:rPr/>
              <w:t xml:space="preserve">bladder </w:t>
            </w:r>
          </w:p>
          <w:p>
            <w:pPr>
              <w:pStyle w:val="TableContents"/>
              <w:bidi w:val="0"/>
              <w:jc w:val="start"/>
              <w:rPr/>
            </w:pPr>
            <w:r>
              <w:rPr/>
              <w:t xml:space="preserve">capacity </w:t>
            </w:r>
          </w:p>
          <w:p>
            <w:pPr>
              <w:pStyle w:val="TableContents"/>
              <w:bidi w:val="0"/>
              <w:spacing w:before="0" w:after="283"/>
              <w:jc w:val="start"/>
              <w:rPr/>
            </w:pPr>
            <w:r>
              <w:rPr/>
              <w:t xml:space="preserve">(mean±SD)(ml.) </w:t>
            </w:r>
          </w:p>
        </w:tc>
        <w:tc>
          <w:tcPr>
            <w:tcW w:w="995" w:type="dxa"/>
            <w:tcBorders/>
            <w:vAlign w:val="center"/>
          </w:tcPr>
          <w:p>
            <w:pPr>
              <w:pStyle w:val="TableContents"/>
              <w:bidi w:val="0"/>
              <w:jc w:val="start"/>
              <w:rPr/>
            </w:pPr>
            <w:r>
              <w:rPr/>
              <w:t xml:space="preserve">Maximum void phase. </w:t>
            </w:r>
          </w:p>
          <w:p>
            <w:pPr>
              <w:pStyle w:val="TableContents"/>
              <w:bidi w:val="0"/>
              <w:jc w:val="start"/>
              <w:rPr/>
            </w:pPr>
            <w:r>
              <w:rPr/>
              <w:t xml:space="preserve">detrusor pressure </w:t>
            </w:r>
          </w:p>
          <w:p>
            <w:pPr>
              <w:pStyle w:val="TableContents"/>
              <w:bidi w:val="0"/>
              <w:spacing w:before="0" w:after="283"/>
              <w:jc w:val="start"/>
              <w:rPr/>
            </w:pPr>
            <w:r>
              <w:rPr/>
              <w:t xml:space="preserve">(mean±SD)(cm. water) </w:t>
            </w:r>
          </w:p>
        </w:tc>
        <w:tc>
          <w:tcPr>
            <w:tcW w:w="920" w:type="dxa"/>
            <w:tcBorders/>
            <w:vAlign w:val="center"/>
          </w:tcPr>
          <w:p>
            <w:pPr>
              <w:pStyle w:val="TableContents"/>
              <w:bidi w:val="0"/>
              <w:jc w:val="start"/>
              <w:rPr/>
            </w:pPr>
            <w:r>
              <w:rPr/>
              <w:t xml:space="preserve">Post-void residual urine volume. </w:t>
            </w:r>
          </w:p>
          <w:p>
            <w:pPr>
              <w:pStyle w:val="TableContents"/>
              <w:bidi w:val="0"/>
              <w:spacing w:before="0" w:after="283"/>
              <w:jc w:val="start"/>
              <w:rPr/>
            </w:pPr>
            <w:r>
              <w:rPr/>
              <w:t xml:space="preserve">(mean±SD)(ml.) </w:t>
            </w:r>
          </w:p>
        </w:tc>
      </w:tr>
      <w:tr>
        <w:trPr/>
        <w:tc>
          <w:tcPr>
            <w:tcW w:w="920" w:type="dxa"/>
            <w:tcBorders/>
            <w:vAlign w:val="center"/>
          </w:tcPr>
          <w:p>
            <w:pPr>
              <w:pStyle w:val="TableContents"/>
              <w:bidi w:val="0"/>
              <w:jc w:val="start"/>
              <w:rPr/>
            </w:pPr>
            <w:r>
              <w:rPr/>
              <w:t xml:space="preserve">Mild </w:t>
            </w:r>
          </w:p>
          <w:p>
            <w:pPr>
              <w:pStyle w:val="TableContents"/>
              <w:bidi w:val="0"/>
              <w:spacing w:before="0" w:after="283"/>
              <w:jc w:val="start"/>
              <w:rPr/>
            </w:pPr>
            <w:r>
              <w:rPr/>
              <w:t xml:space="preserve">(14Pts) </w:t>
            </w:r>
          </w:p>
        </w:tc>
        <w:tc>
          <w:tcPr>
            <w:tcW w:w="785" w:type="dxa"/>
            <w:tcBorders/>
            <w:vAlign w:val="center"/>
          </w:tcPr>
          <w:p>
            <w:pPr>
              <w:pStyle w:val="TableContents"/>
              <w:bidi w:val="0"/>
              <w:spacing w:before="0" w:after="283"/>
              <w:jc w:val="start"/>
              <w:rPr/>
            </w:pPr>
            <w:r>
              <w:rPr/>
              <w:t xml:space="preserve">115± 28 </w:t>
            </w:r>
          </w:p>
        </w:tc>
        <w:tc>
          <w:tcPr>
            <w:tcW w:w="995" w:type="dxa"/>
            <w:tcBorders/>
            <w:vAlign w:val="center"/>
          </w:tcPr>
          <w:p>
            <w:pPr>
              <w:pStyle w:val="TableContents"/>
              <w:bidi w:val="0"/>
              <w:spacing w:before="0" w:after="283"/>
              <w:jc w:val="start"/>
              <w:rPr/>
            </w:pPr>
            <w:r>
              <w:rPr/>
              <w:t xml:space="preserve">195± 60 </w:t>
            </w:r>
          </w:p>
        </w:tc>
        <w:tc>
          <w:tcPr>
            <w:tcW w:w="995" w:type="dxa"/>
            <w:tcBorders/>
            <w:vAlign w:val="center"/>
          </w:tcPr>
          <w:p>
            <w:pPr>
              <w:pStyle w:val="TableContents"/>
              <w:bidi w:val="0"/>
              <w:spacing w:before="0" w:after="283"/>
              <w:jc w:val="start"/>
              <w:rPr/>
            </w:pPr>
            <w:r>
              <w:rPr/>
              <w:t xml:space="preserve">55± 15 </w:t>
            </w:r>
          </w:p>
        </w:tc>
        <w:tc>
          <w:tcPr>
            <w:tcW w:w="920" w:type="dxa"/>
            <w:tcBorders/>
            <w:vAlign w:val="center"/>
          </w:tcPr>
          <w:p>
            <w:pPr>
              <w:pStyle w:val="TableContents"/>
              <w:bidi w:val="0"/>
              <w:spacing w:before="0" w:after="283"/>
              <w:jc w:val="start"/>
              <w:rPr/>
            </w:pPr>
            <w:r>
              <w:rPr/>
              <w:t xml:space="preserve">13± 12 </w:t>
            </w:r>
          </w:p>
        </w:tc>
      </w:tr>
      <w:tr>
        <w:trPr/>
        <w:tc>
          <w:tcPr>
            <w:tcW w:w="920" w:type="dxa"/>
            <w:tcBorders/>
            <w:vAlign w:val="center"/>
          </w:tcPr>
          <w:p>
            <w:pPr>
              <w:pStyle w:val="TableContents"/>
              <w:bidi w:val="0"/>
              <w:jc w:val="start"/>
              <w:rPr/>
            </w:pPr>
            <w:r>
              <w:rPr/>
              <w:t xml:space="preserve">Moderate </w:t>
            </w:r>
          </w:p>
          <w:p>
            <w:pPr>
              <w:pStyle w:val="TableContents"/>
              <w:bidi w:val="0"/>
              <w:spacing w:before="0" w:after="283"/>
              <w:jc w:val="start"/>
              <w:rPr/>
            </w:pPr>
            <w:r>
              <w:rPr/>
              <w:t xml:space="preserve">(29Pts) </w:t>
            </w:r>
          </w:p>
        </w:tc>
        <w:tc>
          <w:tcPr>
            <w:tcW w:w="785" w:type="dxa"/>
            <w:tcBorders/>
            <w:vAlign w:val="center"/>
          </w:tcPr>
          <w:p>
            <w:pPr>
              <w:pStyle w:val="TableContents"/>
              <w:bidi w:val="0"/>
              <w:spacing w:before="0" w:after="283"/>
              <w:jc w:val="start"/>
              <w:rPr/>
            </w:pPr>
            <w:r>
              <w:rPr/>
              <w:t xml:space="preserve">95± 25 </w:t>
            </w:r>
          </w:p>
        </w:tc>
        <w:tc>
          <w:tcPr>
            <w:tcW w:w="995" w:type="dxa"/>
            <w:tcBorders/>
            <w:vAlign w:val="center"/>
          </w:tcPr>
          <w:p>
            <w:pPr>
              <w:pStyle w:val="TableContents"/>
              <w:bidi w:val="0"/>
              <w:spacing w:before="0" w:after="283"/>
              <w:jc w:val="start"/>
              <w:rPr/>
            </w:pPr>
            <w:r>
              <w:rPr/>
              <w:t xml:space="preserve">191± 59 </w:t>
            </w:r>
          </w:p>
        </w:tc>
        <w:tc>
          <w:tcPr>
            <w:tcW w:w="995" w:type="dxa"/>
            <w:tcBorders/>
            <w:vAlign w:val="center"/>
          </w:tcPr>
          <w:p>
            <w:pPr>
              <w:pStyle w:val="TableContents"/>
              <w:bidi w:val="0"/>
              <w:spacing w:before="0" w:after="283"/>
              <w:jc w:val="start"/>
              <w:rPr/>
            </w:pPr>
            <w:r>
              <w:rPr/>
              <w:t xml:space="preserve">57± 20 </w:t>
            </w:r>
          </w:p>
        </w:tc>
        <w:tc>
          <w:tcPr>
            <w:tcW w:w="920" w:type="dxa"/>
            <w:tcBorders/>
            <w:vAlign w:val="center"/>
          </w:tcPr>
          <w:p>
            <w:pPr>
              <w:pStyle w:val="TableContents"/>
              <w:bidi w:val="0"/>
              <w:spacing w:before="0" w:after="283"/>
              <w:jc w:val="start"/>
              <w:rPr/>
            </w:pPr>
            <w:r>
              <w:rPr/>
              <w:t xml:space="preserve">20± 18 </w:t>
            </w:r>
          </w:p>
        </w:tc>
      </w:tr>
      <w:tr>
        <w:trPr/>
        <w:tc>
          <w:tcPr>
            <w:tcW w:w="920" w:type="dxa"/>
            <w:tcBorders/>
            <w:vAlign w:val="center"/>
          </w:tcPr>
          <w:p>
            <w:pPr>
              <w:pStyle w:val="TableContents"/>
              <w:bidi w:val="0"/>
              <w:jc w:val="start"/>
              <w:rPr/>
            </w:pPr>
            <w:r>
              <w:rPr/>
              <w:t xml:space="preserve">Severe </w:t>
            </w:r>
          </w:p>
          <w:p>
            <w:pPr>
              <w:pStyle w:val="TableContents"/>
              <w:bidi w:val="0"/>
              <w:spacing w:before="0" w:after="283"/>
              <w:jc w:val="start"/>
              <w:rPr/>
            </w:pPr>
            <w:r>
              <w:rPr/>
              <w:t xml:space="preserve">(6Pts) </w:t>
            </w:r>
          </w:p>
        </w:tc>
        <w:tc>
          <w:tcPr>
            <w:tcW w:w="785" w:type="dxa"/>
            <w:tcBorders/>
            <w:vAlign w:val="center"/>
          </w:tcPr>
          <w:p>
            <w:pPr>
              <w:pStyle w:val="TableContents"/>
              <w:bidi w:val="0"/>
              <w:spacing w:before="0" w:after="283"/>
              <w:jc w:val="start"/>
              <w:rPr/>
            </w:pPr>
            <w:r>
              <w:rPr/>
              <w:t xml:space="preserve">89± 20 </w:t>
            </w:r>
          </w:p>
        </w:tc>
        <w:tc>
          <w:tcPr>
            <w:tcW w:w="995" w:type="dxa"/>
            <w:tcBorders/>
            <w:vAlign w:val="center"/>
          </w:tcPr>
          <w:p>
            <w:pPr>
              <w:pStyle w:val="TableContents"/>
              <w:bidi w:val="0"/>
              <w:spacing w:before="0" w:after="283"/>
              <w:jc w:val="start"/>
              <w:rPr/>
            </w:pPr>
            <w:r>
              <w:rPr/>
              <w:t xml:space="preserve">184± 56 </w:t>
            </w:r>
          </w:p>
        </w:tc>
        <w:tc>
          <w:tcPr>
            <w:tcW w:w="995" w:type="dxa"/>
            <w:tcBorders/>
            <w:vAlign w:val="center"/>
          </w:tcPr>
          <w:p>
            <w:pPr>
              <w:pStyle w:val="TableContents"/>
              <w:bidi w:val="0"/>
              <w:spacing w:before="0" w:after="283"/>
              <w:jc w:val="start"/>
              <w:rPr/>
            </w:pPr>
            <w:r>
              <w:rPr/>
              <w:t xml:space="preserve">59± 25 </w:t>
            </w:r>
          </w:p>
        </w:tc>
        <w:tc>
          <w:tcPr>
            <w:tcW w:w="920" w:type="dxa"/>
            <w:tcBorders/>
            <w:vAlign w:val="center"/>
          </w:tcPr>
          <w:p>
            <w:pPr>
              <w:pStyle w:val="TableContents"/>
              <w:bidi w:val="0"/>
              <w:spacing w:before="0" w:after="283"/>
              <w:jc w:val="start"/>
              <w:rPr/>
            </w:pPr>
            <w:r>
              <w:rPr/>
              <w:t xml:space="preserve">22±20 </w:t>
            </w:r>
          </w:p>
        </w:tc>
      </w:tr>
    </w:tbl>
    <w:p>
      <w:pPr>
        <w:pStyle w:val="TextBody"/>
        <w:bidi w:val="0"/>
        <w:spacing w:before="0" w:after="283"/>
        <w:jc w:val="start"/>
        <w:rPr/>
      </w:pPr>
      <w:r>
        <w:rPr/>
        <w:t xml:space="preserve">One-way ANOVA P= 0. 006 </w:t>
      </w:r>
    </w:p>
    <w:p>
      <w:pPr>
        <w:pStyle w:val="TextBody"/>
        <w:bidi w:val="0"/>
        <w:spacing w:before="0" w:after="283"/>
        <w:jc w:val="start"/>
        <w:rPr/>
      </w:pPr>
      <w:r>
        <w:rPr/>
        <w:t xml:space="preserve">Table 6. Correlation between urodynamic parameters and IPSS scores </w:t>
      </w:r>
    </w:p>
    <w:tbl>
      <w:tblPr>
        <w:tblW w:w="4615" w:type="dxa"/>
        <w:jc w:val="start"/>
        <w:tblInd w:w="0" w:type="dxa"/>
        <w:tblLayout w:type="fixed"/>
        <w:tblCellMar>
          <w:top w:w="0" w:type="dxa"/>
          <w:start w:w="0" w:type="dxa"/>
          <w:bottom w:w="0" w:type="dxa"/>
          <w:end w:w="0" w:type="dxa"/>
        </w:tblCellMar>
      </w:tblPr>
      <w:tblGrid>
        <w:gridCol w:w="1922"/>
        <w:gridCol w:w="565"/>
        <w:gridCol w:w="630"/>
        <w:gridCol w:w="749"/>
        <w:gridCol w:w="749"/>
      </w:tblGrid>
      <w:tr>
        <w:trPr/>
        <w:tc>
          <w:tcPr>
            <w:tcW w:w="1922" w:type="dxa"/>
            <w:vMerge w:val="restart"/>
            <w:tcBorders/>
            <w:vAlign w:val="center"/>
          </w:tcPr>
          <w:p>
            <w:pPr>
              <w:pStyle w:val="TableContents"/>
              <w:bidi w:val="0"/>
              <w:spacing w:before="0" w:after="283"/>
              <w:jc w:val="start"/>
              <w:rPr/>
            </w:pPr>
            <w:r>
              <w:rPr/>
              <w:t xml:space="preserve">Urodynamic parameters </w:t>
            </w:r>
          </w:p>
        </w:tc>
        <w:tc>
          <w:tcPr>
            <w:tcW w:w="1195" w:type="dxa"/>
            <w:gridSpan w:val="2"/>
            <w:tcBorders/>
            <w:vAlign w:val="center"/>
          </w:tcPr>
          <w:p>
            <w:pPr>
              <w:pStyle w:val="TableContents"/>
              <w:bidi w:val="0"/>
              <w:spacing w:before="0" w:after="283"/>
              <w:jc w:val="start"/>
              <w:rPr/>
            </w:pPr>
            <w:r>
              <w:rPr/>
              <w:t xml:space="preserve">Irritative score </w:t>
            </w:r>
          </w:p>
        </w:tc>
        <w:tc>
          <w:tcPr>
            <w:tcW w:w="1498" w:type="dxa"/>
            <w:gridSpan w:val="2"/>
            <w:tcBorders/>
            <w:vAlign w:val="center"/>
          </w:tcPr>
          <w:p>
            <w:pPr>
              <w:pStyle w:val="TableContents"/>
              <w:bidi w:val="0"/>
              <w:spacing w:before="0" w:after="283"/>
              <w:jc w:val="start"/>
              <w:rPr/>
            </w:pPr>
            <w:r>
              <w:rPr/>
              <w:t xml:space="preserve">Obstructive score </w:t>
            </w:r>
          </w:p>
        </w:tc>
      </w:tr>
      <w:tr>
        <w:trPr/>
        <w:tc>
          <w:tcPr>
            <w:tcW w:w="1922" w:type="dxa"/>
            <w:vMerge w:val="continue"/>
            <w:tcBorders/>
            <w:vAlign w:val="center"/>
          </w:tcPr>
          <w:p>
            <w:pPr>
              <w:pStyle w:val="TableContents"/>
              <w:bidi w:val="0"/>
              <w:spacing w:before="0" w:after="283"/>
              <w:jc w:val="start"/>
              <w:rPr>
                <w:sz w:val="4"/>
                <w:szCs w:val="4"/>
              </w:rPr>
            </w:pPr>
            <w:r>
              <w:rPr>
                <w:sz w:val="4"/>
                <w:szCs w:val="4"/>
              </w:rPr>
            </w:r>
          </w:p>
        </w:tc>
        <w:tc>
          <w:tcPr>
            <w:tcW w:w="565" w:type="dxa"/>
            <w:tcBorders/>
            <w:vAlign w:val="center"/>
          </w:tcPr>
          <w:p>
            <w:pPr>
              <w:pStyle w:val="TableContents"/>
              <w:bidi w:val="0"/>
              <w:spacing w:before="0" w:after="283"/>
              <w:jc w:val="start"/>
              <w:rPr/>
            </w:pPr>
            <w:r>
              <w:rPr/>
              <w:t xml:space="preserve">R </w:t>
            </w:r>
          </w:p>
        </w:tc>
        <w:tc>
          <w:tcPr>
            <w:tcW w:w="630" w:type="dxa"/>
            <w:tcBorders/>
            <w:vAlign w:val="center"/>
          </w:tcPr>
          <w:p>
            <w:pPr>
              <w:pStyle w:val="TableContents"/>
              <w:bidi w:val="0"/>
              <w:spacing w:before="0" w:after="283"/>
              <w:jc w:val="start"/>
              <w:rPr/>
            </w:pPr>
            <w:r>
              <w:rPr/>
              <w:t xml:space="preserve">P </w:t>
            </w:r>
          </w:p>
        </w:tc>
        <w:tc>
          <w:tcPr>
            <w:tcW w:w="749" w:type="dxa"/>
            <w:tcBorders/>
            <w:vAlign w:val="center"/>
          </w:tcPr>
          <w:p>
            <w:pPr>
              <w:pStyle w:val="TableContents"/>
              <w:bidi w:val="0"/>
              <w:spacing w:before="0" w:after="283"/>
              <w:jc w:val="start"/>
              <w:rPr/>
            </w:pPr>
            <w:r>
              <w:rPr/>
              <w:t xml:space="preserve">r </w:t>
            </w:r>
          </w:p>
        </w:tc>
        <w:tc>
          <w:tcPr>
            <w:tcW w:w="749" w:type="dxa"/>
            <w:tcBorders/>
            <w:vAlign w:val="center"/>
          </w:tcPr>
          <w:p>
            <w:pPr>
              <w:pStyle w:val="TableContents"/>
              <w:bidi w:val="0"/>
              <w:spacing w:before="0" w:after="283"/>
              <w:jc w:val="start"/>
              <w:rPr/>
            </w:pPr>
            <w:r>
              <w:rPr/>
              <w:t xml:space="preserve">P </w:t>
            </w:r>
          </w:p>
        </w:tc>
      </w:tr>
      <w:tr>
        <w:trPr/>
        <w:tc>
          <w:tcPr>
            <w:tcW w:w="1922" w:type="dxa"/>
            <w:tcBorders/>
            <w:vAlign w:val="center"/>
          </w:tcPr>
          <w:p>
            <w:pPr>
              <w:pStyle w:val="TableContents"/>
              <w:bidi w:val="0"/>
              <w:spacing w:before="0" w:after="283"/>
              <w:jc w:val="start"/>
              <w:rPr/>
            </w:pPr>
            <w:r>
              <w:rPr/>
              <w:t xml:space="preserve">Initial void desire vol. </w:t>
            </w:r>
          </w:p>
        </w:tc>
        <w:tc>
          <w:tcPr>
            <w:tcW w:w="565" w:type="dxa"/>
            <w:tcBorders/>
            <w:vAlign w:val="center"/>
          </w:tcPr>
          <w:p>
            <w:pPr>
              <w:pStyle w:val="TableContents"/>
              <w:bidi w:val="0"/>
              <w:spacing w:before="0" w:after="283"/>
              <w:jc w:val="start"/>
              <w:rPr/>
            </w:pPr>
            <w:r>
              <w:rPr/>
              <w:t xml:space="preserve">0. 95 </w:t>
            </w:r>
          </w:p>
        </w:tc>
        <w:tc>
          <w:tcPr>
            <w:tcW w:w="630" w:type="dxa"/>
            <w:tcBorders/>
            <w:vAlign w:val="center"/>
          </w:tcPr>
          <w:p>
            <w:pPr>
              <w:pStyle w:val="TableContents"/>
              <w:bidi w:val="0"/>
              <w:spacing w:before="0" w:after="283"/>
              <w:jc w:val="start"/>
              <w:rPr/>
            </w:pPr>
            <w:r>
              <w:rPr/>
              <w:t xml:space="preserve">0. 001 </w:t>
            </w:r>
          </w:p>
        </w:tc>
        <w:tc>
          <w:tcPr>
            <w:tcW w:w="749" w:type="dxa"/>
            <w:tcBorders/>
            <w:vAlign w:val="center"/>
          </w:tcPr>
          <w:p>
            <w:pPr>
              <w:pStyle w:val="TableContents"/>
              <w:bidi w:val="0"/>
              <w:spacing w:before="0" w:after="283"/>
              <w:jc w:val="start"/>
              <w:rPr/>
            </w:pPr>
            <w:r>
              <w:rPr/>
              <w:t xml:space="preserve">0. 92 </w:t>
            </w:r>
          </w:p>
        </w:tc>
        <w:tc>
          <w:tcPr>
            <w:tcW w:w="749" w:type="dxa"/>
            <w:tcBorders/>
            <w:vAlign w:val="center"/>
          </w:tcPr>
          <w:p>
            <w:pPr>
              <w:pStyle w:val="TableContents"/>
              <w:bidi w:val="0"/>
              <w:spacing w:before="0" w:after="283"/>
              <w:jc w:val="start"/>
              <w:rPr/>
            </w:pPr>
            <w:r>
              <w:rPr/>
              <w:t xml:space="preserve">0. 35 </w:t>
            </w:r>
          </w:p>
        </w:tc>
      </w:tr>
      <w:tr>
        <w:trPr/>
        <w:tc>
          <w:tcPr>
            <w:tcW w:w="1922" w:type="dxa"/>
            <w:tcBorders/>
            <w:vAlign w:val="center"/>
          </w:tcPr>
          <w:p>
            <w:pPr>
              <w:pStyle w:val="TableContents"/>
              <w:bidi w:val="0"/>
              <w:spacing w:before="0" w:after="283"/>
              <w:jc w:val="start"/>
              <w:rPr/>
            </w:pPr>
            <w:r>
              <w:rPr/>
              <w:t xml:space="preserve">Max Bladder capacity </w:t>
            </w:r>
          </w:p>
        </w:tc>
        <w:tc>
          <w:tcPr>
            <w:tcW w:w="565" w:type="dxa"/>
            <w:tcBorders/>
            <w:vAlign w:val="center"/>
          </w:tcPr>
          <w:p>
            <w:pPr>
              <w:pStyle w:val="TableContents"/>
              <w:bidi w:val="0"/>
              <w:spacing w:before="0" w:after="283"/>
              <w:jc w:val="start"/>
              <w:rPr/>
            </w:pPr>
            <w:r>
              <w:rPr/>
              <w:t xml:space="preserve">0. 76 </w:t>
            </w:r>
          </w:p>
        </w:tc>
        <w:tc>
          <w:tcPr>
            <w:tcW w:w="630" w:type="dxa"/>
            <w:tcBorders/>
            <w:vAlign w:val="center"/>
          </w:tcPr>
          <w:p>
            <w:pPr>
              <w:pStyle w:val="TableContents"/>
              <w:bidi w:val="0"/>
              <w:spacing w:before="0" w:after="283"/>
              <w:jc w:val="start"/>
              <w:rPr/>
            </w:pPr>
            <w:r>
              <w:rPr/>
              <w:t xml:space="preserve">0. 04 </w:t>
            </w:r>
          </w:p>
        </w:tc>
        <w:tc>
          <w:tcPr>
            <w:tcW w:w="749" w:type="dxa"/>
            <w:tcBorders/>
            <w:vAlign w:val="center"/>
          </w:tcPr>
          <w:p>
            <w:pPr>
              <w:pStyle w:val="TableContents"/>
              <w:bidi w:val="0"/>
              <w:spacing w:before="0" w:after="283"/>
              <w:jc w:val="start"/>
              <w:rPr/>
            </w:pPr>
            <w:r>
              <w:rPr/>
              <w:t xml:space="preserve">0. 68 </w:t>
            </w:r>
          </w:p>
        </w:tc>
        <w:tc>
          <w:tcPr>
            <w:tcW w:w="749" w:type="dxa"/>
            <w:tcBorders/>
            <w:vAlign w:val="center"/>
          </w:tcPr>
          <w:p>
            <w:pPr>
              <w:pStyle w:val="TableContents"/>
              <w:bidi w:val="0"/>
              <w:spacing w:before="0" w:after="283"/>
              <w:jc w:val="start"/>
              <w:rPr/>
            </w:pPr>
            <w:r>
              <w:rPr/>
              <w:t xml:space="preserve">0. 27 </w:t>
            </w:r>
          </w:p>
        </w:tc>
      </w:tr>
      <w:tr>
        <w:trPr/>
        <w:tc>
          <w:tcPr>
            <w:tcW w:w="1922" w:type="dxa"/>
            <w:tcBorders/>
            <w:vAlign w:val="center"/>
          </w:tcPr>
          <w:p>
            <w:pPr>
              <w:pStyle w:val="TableContents"/>
              <w:bidi w:val="0"/>
              <w:spacing w:before="0" w:after="283"/>
              <w:jc w:val="start"/>
              <w:rPr/>
            </w:pPr>
            <w:r>
              <w:rPr/>
              <w:t xml:space="preserve">Detruser pressure </w:t>
            </w:r>
          </w:p>
        </w:tc>
        <w:tc>
          <w:tcPr>
            <w:tcW w:w="565" w:type="dxa"/>
            <w:tcBorders/>
            <w:vAlign w:val="center"/>
          </w:tcPr>
          <w:p>
            <w:pPr>
              <w:pStyle w:val="TableContents"/>
              <w:bidi w:val="0"/>
              <w:spacing w:before="0" w:after="283"/>
              <w:jc w:val="start"/>
              <w:rPr/>
            </w:pPr>
            <w:r>
              <w:rPr/>
              <w:t xml:space="preserve">0. 96 </w:t>
            </w:r>
          </w:p>
        </w:tc>
        <w:tc>
          <w:tcPr>
            <w:tcW w:w="630" w:type="dxa"/>
            <w:tcBorders/>
            <w:vAlign w:val="center"/>
          </w:tcPr>
          <w:p>
            <w:pPr>
              <w:pStyle w:val="TableContents"/>
              <w:bidi w:val="0"/>
              <w:spacing w:before="0" w:after="283"/>
              <w:jc w:val="start"/>
              <w:rPr/>
            </w:pPr>
            <w:r>
              <w:rPr/>
              <w:t xml:space="preserve">0. 24 </w:t>
            </w:r>
          </w:p>
        </w:tc>
        <w:tc>
          <w:tcPr>
            <w:tcW w:w="749" w:type="dxa"/>
            <w:tcBorders/>
            <w:vAlign w:val="center"/>
          </w:tcPr>
          <w:p>
            <w:pPr>
              <w:pStyle w:val="TableContents"/>
              <w:bidi w:val="0"/>
              <w:spacing w:before="0" w:after="283"/>
              <w:jc w:val="start"/>
              <w:rPr/>
            </w:pPr>
            <w:r>
              <w:rPr/>
              <w:t xml:space="preserve">0. 89 </w:t>
            </w:r>
          </w:p>
        </w:tc>
        <w:tc>
          <w:tcPr>
            <w:tcW w:w="749" w:type="dxa"/>
            <w:tcBorders/>
            <w:vAlign w:val="center"/>
          </w:tcPr>
          <w:p>
            <w:pPr>
              <w:pStyle w:val="TableContents"/>
              <w:bidi w:val="0"/>
              <w:spacing w:before="0" w:after="283"/>
              <w:jc w:val="start"/>
              <w:rPr/>
            </w:pPr>
            <w:r>
              <w:rPr/>
              <w:t xml:space="preserve">0. 17 </w:t>
            </w:r>
          </w:p>
        </w:tc>
      </w:tr>
      <w:tr>
        <w:trPr/>
        <w:tc>
          <w:tcPr>
            <w:tcW w:w="1922" w:type="dxa"/>
            <w:tcBorders/>
            <w:vAlign w:val="center"/>
          </w:tcPr>
          <w:p>
            <w:pPr>
              <w:pStyle w:val="TableContents"/>
              <w:bidi w:val="0"/>
              <w:spacing w:before="0" w:after="283"/>
              <w:jc w:val="start"/>
              <w:rPr/>
            </w:pPr>
            <w:r>
              <w:rPr/>
              <w:t xml:space="preserve">Post residual Urine Vol. </w:t>
            </w:r>
          </w:p>
        </w:tc>
        <w:tc>
          <w:tcPr>
            <w:tcW w:w="565" w:type="dxa"/>
            <w:tcBorders/>
            <w:vAlign w:val="center"/>
          </w:tcPr>
          <w:p>
            <w:pPr>
              <w:pStyle w:val="TableContents"/>
              <w:bidi w:val="0"/>
              <w:spacing w:before="0" w:after="283"/>
              <w:jc w:val="start"/>
              <w:rPr/>
            </w:pPr>
            <w:r>
              <w:rPr/>
              <w:t xml:space="preserve">0. 89 </w:t>
            </w:r>
          </w:p>
        </w:tc>
        <w:tc>
          <w:tcPr>
            <w:tcW w:w="630" w:type="dxa"/>
            <w:tcBorders/>
            <w:vAlign w:val="center"/>
          </w:tcPr>
          <w:p>
            <w:pPr>
              <w:pStyle w:val="TableContents"/>
              <w:bidi w:val="0"/>
              <w:spacing w:before="0" w:after="283"/>
              <w:jc w:val="start"/>
              <w:rPr/>
            </w:pPr>
            <w:r>
              <w:rPr/>
              <w:t xml:space="preserve">0. 43 </w:t>
            </w:r>
          </w:p>
        </w:tc>
        <w:tc>
          <w:tcPr>
            <w:tcW w:w="749" w:type="dxa"/>
            <w:tcBorders/>
            <w:vAlign w:val="center"/>
          </w:tcPr>
          <w:p>
            <w:pPr>
              <w:pStyle w:val="TableContents"/>
              <w:bidi w:val="0"/>
              <w:spacing w:before="0" w:after="283"/>
              <w:jc w:val="start"/>
              <w:rPr/>
            </w:pPr>
            <w:r>
              <w:rPr/>
              <w:t xml:space="preserve">0. 94 </w:t>
            </w:r>
          </w:p>
        </w:tc>
        <w:tc>
          <w:tcPr>
            <w:tcW w:w="749" w:type="dxa"/>
            <w:tcBorders/>
            <w:vAlign w:val="center"/>
          </w:tcPr>
          <w:p>
            <w:pPr>
              <w:pStyle w:val="TableContents"/>
              <w:bidi w:val="0"/>
              <w:spacing w:before="0" w:after="283"/>
              <w:jc w:val="start"/>
              <w:rPr/>
            </w:pPr>
            <w:r>
              <w:rPr/>
              <w:t xml:space="preserve">0. 06 </w:t>
            </w:r>
          </w:p>
        </w:tc>
      </w:tr>
    </w:tbl>
    <w:p>
      <w:pPr>
        <w:pStyle w:val="TextBody"/>
        <w:bidi w:val="0"/>
        <w:spacing w:before="0" w:after="283"/>
        <w:jc w:val="start"/>
        <w:rPr/>
      </w:pPr>
      <w:r>
        <w:rPr/>
        <w:t xml:space="preserve">Table 7. Correlation between urodynamic parameters (storage phase parameters) and antiparkisonian drugs </w:t>
      </w:r>
    </w:p>
    <w:tbl>
      <w:tblPr>
        <w:tblW w:w="4615" w:type="dxa"/>
        <w:jc w:val="start"/>
        <w:tblInd w:w="0" w:type="dxa"/>
        <w:tblLayout w:type="fixed"/>
        <w:tblCellMar>
          <w:top w:w="0" w:type="dxa"/>
          <w:start w:w="0" w:type="dxa"/>
          <w:bottom w:w="0" w:type="dxa"/>
          <w:end w:w="0" w:type="dxa"/>
        </w:tblCellMar>
      </w:tblPr>
      <w:tblGrid>
        <w:gridCol w:w="1264"/>
        <w:gridCol w:w="1551"/>
        <w:gridCol w:w="1501"/>
        <w:gridCol w:w="299"/>
      </w:tblGrid>
      <w:tr>
        <w:trPr/>
        <w:tc>
          <w:tcPr>
            <w:tcW w:w="1264" w:type="dxa"/>
            <w:tcBorders/>
            <w:vAlign w:val="center"/>
          </w:tcPr>
          <w:p>
            <w:pPr>
              <w:pStyle w:val="TableContents"/>
              <w:bidi w:val="0"/>
              <w:spacing w:before="0" w:after="283"/>
              <w:jc w:val="start"/>
              <w:rPr/>
            </w:pPr>
            <w:r>
              <w:rPr/>
              <w:t xml:space="preserve">Urodynamic parameters </w:t>
            </w:r>
          </w:p>
        </w:tc>
        <w:tc>
          <w:tcPr>
            <w:tcW w:w="1551" w:type="dxa"/>
            <w:tcBorders/>
            <w:vAlign w:val="center"/>
          </w:tcPr>
          <w:p>
            <w:pPr>
              <w:pStyle w:val="TableContents"/>
              <w:bidi w:val="0"/>
              <w:jc w:val="start"/>
              <w:rPr/>
            </w:pPr>
            <w:r>
              <w:rPr/>
              <w:t xml:space="preserve">Anticholinergic drug group </w:t>
            </w:r>
          </w:p>
          <w:p>
            <w:pPr>
              <w:pStyle w:val="TableContents"/>
              <w:bidi w:val="0"/>
              <w:spacing w:before="0" w:after="283"/>
              <w:jc w:val="start"/>
              <w:rPr/>
            </w:pPr>
            <w:r>
              <w:rPr/>
              <w:t xml:space="preserve">N0= 24 </w:t>
            </w:r>
          </w:p>
        </w:tc>
        <w:tc>
          <w:tcPr>
            <w:tcW w:w="1501" w:type="dxa"/>
            <w:tcBorders/>
            <w:vAlign w:val="center"/>
          </w:tcPr>
          <w:p>
            <w:pPr>
              <w:pStyle w:val="TableContents"/>
              <w:bidi w:val="0"/>
              <w:jc w:val="start"/>
              <w:rPr/>
            </w:pPr>
            <w:r>
              <w:rPr/>
              <w:t xml:space="preserve">Non anticholinergic drug group </w:t>
            </w:r>
          </w:p>
          <w:p>
            <w:pPr>
              <w:pStyle w:val="TableContents"/>
              <w:bidi w:val="0"/>
              <w:spacing w:before="0" w:after="283"/>
              <w:jc w:val="start"/>
              <w:rPr/>
            </w:pPr>
            <w:r>
              <w:rPr/>
              <w:t xml:space="preserve">No= 25 </w:t>
            </w:r>
          </w:p>
        </w:tc>
        <w:tc>
          <w:tcPr>
            <w:tcW w:w="299" w:type="dxa"/>
            <w:tcBorders/>
            <w:vAlign w:val="center"/>
          </w:tcPr>
          <w:p>
            <w:pPr>
              <w:pStyle w:val="TableContents"/>
              <w:bidi w:val="0"/>
              <w:spacing w:before="0" w:after="283"/>
              <w:jc w:val="start"/>
              <w:rPr/>
            </w:pPr>
            <w:r>
              <w:rPr/>
              <w:t xml:space="preserve">P </w:t>
            </w:r>
          </w:p>
        </w:tc>
      </w:tr>
      <w:tr>
        <w:trPr/>
        <w:tc>
          <w:tcPr>
            <w:tcW w:w="1264" w:type="dxa"/>
            <w:tcBorders/>
            <w:vAlign w:val="center"/>
          </w:tcPr>
          <w:p>
            <w:pPr>
              <w:pStyle w:val="TableContents"/>
              <w:bidi w:val="0"/>
              <w:spacing w:before="0" w:after="283"/>
              <w:jc w:val="start"/>
              <w:rPr/>
            </w:pPr>
            <w:r>
              <w:rPr/>
              <w:t xml:space="preserve">Initial void desire vol. </w:t>
            </w:r>
          </w:p>
        </w:tc>
        <w:tc>
          <w:tcPr>
            <w:tcW w:w="1551" w:type="dxa"/>
            <w:tcBorders/>
            <w:vAlign w:val="center"/>
          </w:tcPr>
          <w:p>
            <w:pPr>
              <w:pStyle w:val="TableContents"/>
              <w:bidi w:val="0"/>
              <w:spacing w:before="0" w:after="283"/>
              <w:jc w:val="start"/>
              <w:rPr/>
            </w:pPr>
            <w:r>
              <w:rPr/>
              <w:t xml:space="preserve">102±27 </w:t>
            </w:r>
          </w:p>
        </w:tc>
        <w:tc>
          <w:tcPr>
            <w:tcW w:w="1501" w:type="dxa"/>
            <w:tcBorders/>
            <w:vAlign w:val="center"/>
          </w:tcPr>
          <w:p>
            <w:pPr>
              <w:pStyle w:val="TableContents"/>
              <w:bidi w:val="0"/>
              <w:spacing w:before="0" w:after="283"/>
              <w:jc w:val="start"/>
              <w:rPr/>
            </w:pPr>
            <w:r>
              <w:rPr/>
              <w:t xml:space="preserve">97±25 </w:t>
            </w:r>
          </w:p>
        </w:tc>
        <w:tc>
          <w:tcPr>
            <w:tcW w:w="299" w:type="dxa"/>
            <w:tcBorders/>
            <w:vAlign w:val="center"/>
          </w:tcPr>
          <w:p>
            <w:pPr>
              <w:pStyle w:val="TableContents"/>
              <w:bidi w:val="0"/>
              <w:spacing w:before="0" w:after="283"/>
              <w:jc w:val="start"/>
              <w:rPr/>
            </w:pPr>
            <w:r>
              <w:rPr/>
              <w:t>≥</w:t>
            </w:r>
            <w:r>
              <w:rPr/>
              <w:t xml:space="preserve">0. 05 </w:t>
            </w:r>
          </w:p>
        </w:tc>
      </w:tr>
      <w:tr>
        <w:trPr/>
        <w:tc>
          <w:tcPr>
            <w:tcW w:w="1264" w:type="dxa"/>
            <w:tcBorders/>
            <w:vAlign w:val="center"/>
          </w:tcPr>
          <w:p>
            <w:pPr>
              <w:pStyle w:val="TableContents"/>
              <w:bidi w:val="0"/>
              <w:spacing w:before="0" w:after="283"/>
              <w:jc w:val="start"/>
              <w:rPr/>
            </w:pPr>
            <w:r>
              <w:rPr/>
              <w:t xml:space="preserve">Max Bladder capacity </w:t>
            </w:r>
          </w:p>
        </w:tc>
        <w:tc>
          <w:tcPr>
            <w:tcW w:w="1551" w:type="dxa"/>
            <w:tcBorders/>
            <w:vAlign w:val="center"/>
          </w:tcPr>
          <w:p>
            <w:pPr>
              <w:pStyle w:val="TableContents"/>
              <w:bidi w:val="0"/>
              <w:spacing w:before="0" w:after="283"/>
              <w:jc w:val="start"/>
              <w:rPr/>
            </w:pPr>
            <w:r>
              <w:rPr/>
              <w:t xml:space="preserve">192±58 </w:t>
            </w:r>
          </w:p>
        </w:tc>
        <w:tc>
          <w:tcPr>
            <w:tcW w:w="1501" w:type="dxa"/>
            <w:tcBorders/>
            <w:vAlign w:val="center"/>
          </w:tcPr>
          <w:p>
            <w:pPr>
              <w:pStyle w:val="TableContents"/>
              <w:bidi w:val="0"/>
              <w:spacing w:before="0" w:after="283"/>
              <w:jc w:val="start"/>
              <w:rPr/>
            </w:pPr>
            <w:r>
              <w:rPr/>
              <w:t xml:space="preserve">188±56 </w:t>
            </w:r>
          </w:p>
        </w:tc>
        <w:tc>
          <w:tcPr>
            <w:tcW w:w="299" w:type="dxa"/>
            <w:tcBorders/>
            <w:vAlign w:val="center"/>
          </w:tcPr>
          <w:p>
            <w:pPr>
              <w:pStyle w:val="TableContents"/>
              <w:bidi w:val="0"/>
              <w:spacing w:before="0" w:after="283"/>
              <w:jc w:val="start"/>
              <w:rPr/>
            </w:pPr>
            <w:r>
              <w:rPr/>
              <w:t>≥</w:t>
            </w:r>
            <w:r>
              <w:rPr/>
              <w:t xml:space="preserve">0. 05 </w:t>
            </w:r>
          </w:p>
        </w:tc>
      </w:tr>
    </w:tbl>
    <w:p>
      <w:pPr>
        <w:pStyle w:val="Heading3"/>
        <w:bidi w:val="0"/>
        <w:jc w:val="start"/>
        <w:rPr/>
      </w:pPr>
      <w:r>
        <w:rPr/>
        <w:t xml:space="preserve">Discussion: </w:t>
      </w:r>
    </w:p>
    <w:p>
      <w:pPr>
        <w:pStyle w:val="TextBody"/>
        <w:bidi w:val="0"/>
        <w:spacing w:before="0" w:after="283"/>
        <w:jc w:val="start"/>
        <w:rPr/>
      </w:pPr>
      <w:r>
        <w:rPr/>
        <w:t xml:space="preserve">Urinary dysfunction in IPD is most frequently caused byurinary storage problems, rather than voiding dysfunction, and manifest as an overactive bladder (8). In the current study, the most prevailing urinary symptom in IPD, was nocturia (up to 77. 5%), followed by urgency (36. 7%) and frequency (32. 6%) and these results are going with previous studies (9, 10). These may lead to urinary incontinence, which may be in part functional if immobility or poor manual dexterity complicates the situation. Since many patients with IPD have a disturbed sleep pattern and nocturnal polyuria, the actual prevalence of definite nocturia may be overestimated (12). </w:t>
      </w:r>
    </w:p>
    <w:p>
      <w:pPr>
        <w:pStyle w:val="TextBody"/>
        <w:bidi w:val="0"/>
        <w:spacing w:before="0" w:after="283"/>
        <w:jc w:val="start"/>
        <w:rPr/>
      </w:pPr>
      <w:r>
        <w:rPr/>
        <w:t xml:space="preserve">In this study, the most striking finding of bladder dysfunction in IPD patients is detrusor hyperreflexia, which is reported in 67. 3% of symptomatic patients whereas detrusor hyporeflexia is reported in 12. 2% of IPD patients and normal bladder function in 20. 4%. Another study which evaluated voiding function in IPD found that 67% had detrusor hyperreflexia, 16% had hyporeflexia, 9% had detrusor hypereflexia with impaired contractile function, 3% had hyperreflexia with detrusor-sphincter dyssynergia and only 6% had normal detrusor functions (11). Dopaminergic mechanisms are thought to play a central role in normal micturition control and dysfunction of these may lead to detrusor overactivity. Dopaminergic neurons have both inhibitory and stimulatory effects on micturition acting via D1 and D2 receptors respectively. Such neurons are of particular abundance in the substantia nigra pars compacta (SNC) and the ventral tegmental area (VTA) of the midbrain. The most widely accepted theory is that the basal ganglia inhibits the micturition reflex in the ‘ normal’ situation via D1 receptors, and that cell depletion in the SNC in IPD, results in loss of this D1-mediated inhibition and consequently detrusor overactivity (12). However, 12. 2% of our patients had hyporeflexia which may be explained possibly by drugs especially anticholinergic and dopammiergic drugs which can inhibit bladder function and impairment of autonomic nervous system in advanced IPD. </w:t>
      </w:r>
    </w:p>
    <w:p>
      <w:pPr>
        <w:pStyle w:val="TextBody"/>
        <w:bidi w:val="0"/>
        <w:spacing w:before="0" w:after="283"/>
        <w:jc w:val="start"/>
        <w:rPr/>
      </w:pPr>
      <w:r>
        <w:rPr/>
        <w:t xml:space="preserve">In this study, both pathological urodynamic parameters, volume at initial desire to void and maximum bladder capacity decreased with disease severity. These findings can be explained by detrusor hyperactivity. In contrast, other studies showed that post-void residual urine volume increased with disease severity (13, 14). This finding was not fully understood, but this was explained on the assumption that with advanced disease process, long standing hyperreflexia may eventually lead to impairment of bladder contractility together with the hypokinesia of pelvic floor muscles resulting in bladder outlet obstruction with consequent increase in post-void residual urine volume (13, 14). Others believe that they may be secondary to anticholinergics, obstructive uropathy, or point to the presence of multiple system atrophy (15). </w:t>
      </w:r>
    </w:p>
    <w:p>
      <w:pPr>
        <w:pStyle w:val="TextBody"/>
        <w:bidi w:val="0"/>
        <w:spacing w:before="0" w:after="283"/>
        <w:jc w:val="start"/>
        <w:rPr/>
      </w:pPr>
      <w:r>
        <w:rPr/>
        <w:t xml:space="preserve">Because many IPD patients are on multiple drug therapy, which can inhibit bladder function, the current study, demonstrated that the mean of urodynamic parameters did not differ in patients who did or did not receive anticholinergics or dopaminergic drugs, which suggests that it is part of the IPD itself. These results are going with that of Araki et al. (11), who found no difference in the mean of urodynamic parameters among patients on different antiparkinsonian drugs (11). On the other hand, many studies showed conflicting results(16-18)that some suggest cortical dysfunction (18) or a possible implication of nondopaminergic lesions in the occurrence of bladder dysfunction in IPD (16). </w:t>
      </w:r>
    </w:p>
    <w:p>
      <w:pPr>
        <w:pStyle w:val="TextBody"/>
        <w:bidi w:val="0"/>
        <w:spacing w:before="0" w:after="283"/>
        <w:jc w:val="start"/>
        <w:rPr/>
      </w:pPr>
      <w:r>
        <w:rPr/>
        <w:t xml:space="preserve">Lower urinary tract symptoms quantified by IPSS showed that irritative symptoms index score correlated with disease severity and with detrusor overactivity that was manifested urodynamically by decrease in volume at initial desire to void and maximum bladder capacity(storage phase) whereas the obstructive symptoms index score did not correlate with disease severity nor urodynamic parameters. In contrast, some other studies show that, irritative symptoms index score correlated with detrusor overactivity and obstructive symptoms index score correlated with voiding underactivity. Additionally, both irritative and obstructive symptom index scores increased with disease severity (13, 21). This discrepancy between the present study and other studies may be explained by fewer numbers of patients in advanced disease stage and the patients evaluated under multiple drugs therapy in advanced disease. </w:t>
      </w:r>
    </w:p>
    <w:p>
      <w:pPr>
        <w:pStyle w:val="TextBody"/>
        <w:bidi w:val="0"/>
        <w:spacing w:before="0" w:after="283"/>
        <w:jc w:val="start"/>
        <w:rPr/>
      </w:pPr>
      <w:r>
        <w:rPr/>
        <w:t xml:space="preserve">In conclusion, most of the patients with IPD suffer from urological disorder; most commonly is detrusor hyperactivity which results in irritative urinary symptoms that correlate well with disease severity. These disabling symptoms significantly affect quality of life of IPD patients. </w:t>
      </w:r>
    </w:p>
    <w:p>
      <w:pPr>
        <w:pStyle w:val="Heading3"/>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1-Clarke C. Parkinson’s disease in practice. 2nd ed. London: Royal Society of Medicine Press Ltd; 2006 </w:t>
      </w:r>
    </w:p>
    <w:p>
      <w:pPr>
        <w:pStyle w:val="TextBody"/>
        <w:numPr>
          <w:ilvl w:val="0"/>
          <w:numId w:val="2"/>
        </w:numPr>
        <w:tabs>
          <w:tab w:val="clear" w:pos="1134"/>
          <w:tab w:val="left" w:pos="709" w:leader="none"/>
        </w:tabs>
        <w:bidi w:val="0"/>
        <w:spacing w:before="0" w:after="0"/>
        <w:ind w:start="709" w:hanging="283"/>
        <w:jc w:val="start"/>
        <w:rPr/>
      </w:pPr>
      <w:r>
        <w:rPr/>
        <w:t xml:space="preserve">2-Chaudhuri KR, Healy D, Schapira AHV. The non motor symptoms of Parkinson’s disease. Diagnosis and management. Lancet Neurol 2006; 5: 235-45. </w:t>
      </w:r>
    </w:p>
    <w:p>
      <w:pPr>
        <w:pStyle w:val="TextBody"/>
        <w:numPr>
          <w:ilvl w:val="0"/>
          <w:numId w:val="2"/>
        </w:numPr>
        <w:tabs>
          <w:tab w:val="clear" w:pos="1134"/>
          <w:tab w:val="left" w:pos="709" w:leader="none"/>
        </w:tabs>
        <w:bidi w:val="0"/>
        <w:spacing w:before="0" w:after="0"/>
        <w:ind w:start="709" w:hanging="283"/>
        <w:jc w:val="start"/>
        <w:rPr/>
      </w:pPr>
      <w:r>
        <w:rPr/>
        <w:t xml:space="preserve">3-Mitra T, Naidu Y, Martinez-Martin P, et al. The non declaration of non motor symptoms of Parkinson’s disease to healthcare professionals. An international survey using the NMSQuest. 6th International Congress on Mental Dysfunctions and other Non-motor Features in Parkinson’s disease and Related Disorders. Dresden October, 2008. Park Related DisordersP0II: 161. </w:t>
      </w:r>
    </w:p>
    <w:p>
      <w:pPr>
        <w:pStyle w:val="TextBody"/>
        <w:numPr>
          <w:ilvl w:val="0"/>
          <w:numId w:val="2"/>
        </w:numPr>
        <w:tabs>
          <w:tab w:val="clear" w:pos="1134"/>
          <w:tab w:val="left" w:pos="709" w:leader="none"/>
        </w:tabs>
        <w:bidi w:val="0"/>
        <w:spacing w:before="0" w:after="0"/>
        <w:ind w:start="709" w:hanging="283"/>
        <w:jc w:val="start"/>
        <w:rPr/>
      </w:pPr>
      <w:r>
        <w:rPr/>
        <w:t xml:space="preserve">4-Andersen J. Disturbances of bladder and urethral function in Parkinson’s disease. International Urol and Nephrol 1985; 17: 35-41. </w:t>
      </w:r>
    </w:p>
    <w:p>
      <w:pPr>
        <w:pStyle w:val="TextBody"/>
        <w:numPr>
          <w:ilvl w:val="0"/>
          <w:numId w:val="2"/>
        </w:numPr>
        <w:tabs>
          <w:tab w:val="clear" w:pos="1134"/>
          <w:tab w:val="left" w:pos="709" w:leader="none"/>
        </w:tabs>
        <w:bidi w:val="0"/>
        <w:spacing w:before="0" w:after="0"/>
        <w:ind w:start="709" w:hanging="283"/>
        <w:jc w:val="start"/>
        <w:rPr/>
      </w:pPr>
      <w:r>
        <w:rPr/>
        <w:t xml:space="preserve">5. Blackett H, Walker R, Wood B. Urinary dysfunction in Parkinson’s disease: a review. Parkinsonism Relat Disord 2009 Feb; 15(2): 81-7. </w:t>
      </w:r>
    </w:p>
    <w:p>
      <w:pPr>
        <w:pStyle w:val="TextBody"/>
        <w:numPr>
          <w:ilvl w:val="0"/>
          <w:numId w:val="2"/>
        </w:numPr>
        <w:tabs>
          <w:tab w:val="clear" w:pos="1134"/>
          <w:tab w:val="left" w:pos="709" w:leader="none"/>
        </w:tabs>
        <w:bidi w:val="0"/>
        <w:spacing w:before="0" w:after="0"/>
        <w:ind w:start="709" w:hanging="283"/>
        <w:jc w:val="start"/>
        <w:rPr/>
      </w:pPr>
      <w:r>
        <w:rPr/>
        <w:t xml:space="preserve">6- Hobson P, Islam W, Roberts S, Adhiyman V, Meara J. The risk of bladder and autonomic dysfunction in a community cohort of Parkinson’s disease patients and normal controls. Parkinsonism Related Disorders 2003; 10: 67-71. </w:t>
      </w:r>
    </w:p>
    <w:p>
      <w:pPr>
        <w:pStyle w:val="TextBody"/>
        <w:numPr>
          <w:ilvl w:val="0"/>
          <w:numId w:val="2"/>
        </w:numPr>
        <w:tabs>
          <w:tab w:val="clear" w:pos="1134"/>
          <w:tab w:val="left" w:pos="709" w:leader="none"/>
        </w:tabs>
        <w:bidi w:val="0"/>
        <w:spacing w:before="0" w:after="0"/>
        <w:ind w:start="709" w:hanging="283"/>
        <w:jc w:val="start"/>
        <w:rPr/>
      </w:pPr>
      <w:r>
        <w:rPr/>
        <w:t xml:space="preserve">7-Gelb DJ, Oliver E, Gilman S. Diagnostic criteria for Parkinson disease. Arch Neurol 1999; 56: 33-39. </w:t>
      </w:r>
    </w:p>
    <w:p>
      <w:pPr>
        <w:pStyle w:val="TextBody"/>
        <w:numPr>
          <w:ilvl w:val="0"/>
          <w:numId w:val="2"/>
        </w:numPr>
        <w:tabs>
          <w:tab w:val="clear" w:pos="1134"/>
          <w:tab w:val="left" w:pos="709" w:leader="none"/>
        </w:tabs>
        <w:bidi w:val="0"/>
        <w:spacing w:before="0" w:after="0"/>
        <w:ind w:start="709" w:hanging="283"/>
        <w:jc w:val="start"/>
        <w:rPr/>
      </w:pPr>
      <w:r>
        <w:rPr/>
        <w:t xml:space="preserve">8-Eckhardt MD, van Venrooij GE, Boon TA; Symptoms and quality of life versus age, prostate volume, and urodynamic parameters in 565 strictly selected men with lower urinary tract symptoms suggestive of benign prostatic hyperplasia. Urology 2001 Apr; 57(4): 695-700. </w:t>
      </w:r>
    </w:p>
    <w:p>
      <w:pPr>
        <w:pStyle w:val="TextBody"/>
        <w:numPr>
          <w:ilvl w:val="0"/>
          <w:numId w:val="2"/>
        </w:numPr>
        <w:tabs>
          <w:tab w:val="clear" w:pos="1134"/>
          <w:tab w:val="left" w:pos="709" w:leader="none"/>
        </w:tabs>
        <w:bidi w:val="0"/>
        <w:spacing w:before="0" w:after="0"/>
        <w:ind w:start="709" w:hanging="283"/>
        <w:jc w:val="start"/>
        <w:rPr/>
      </w:pPr>
      <w:r>
        <w:rPr/>
        <w:t xml:space="preserve">9-Hoehn MM, Yahr MD. Parkinsonism: onset, progression and mortality. Neurology 1967; 17: 427. </w:t>
      </w:r>
    </w:p>
    <w:p>
      <w:pPr>
        <w:pStyle w:val="TextBody"/>
        <w:numPr>
          <w:ilvl w:val="0"/>
          <w:numId w:val="2"/>
        </w:numPr>
        <w:tabs>
          <w:tab w:val="clear" w:pos="1134"/>
          <w:tab w:val="left" w:pos="709" w:leader="none"/>
        </w:tabs>
        <w:bidi w:val="0"/>
        <w:spacing w:before="0" w:after="0"/>
        <w:ind w:start="709" w:hanging="283"/>
        <w:jc w:val="start"/>
        <w:rPr/>
      </w:pPr>
      <w:r>
        <w:rPr/>
        <w:t xml:space="preserve">10-Defreitas GA, Lemack GE, Zimmern PE, Dewey RB, Roehrborn CG, O’Suilleabhain PE. Distinguishing neurogenic from non-neurogenic detrusor overactivity: A urodynamic assessment of lower urinary tract symptoms in patients with and without Parkinson’s disease. Urology2003 Oct; 62(4): 651-5. </w:t>
      </w:r>
    </w:p>
    <w:p>
      <w:pPr>
        <w:pStyle w:val="TextBody"/>
        <w:numPr>
          <w:ilvl w:val="0"/>
          <w:numId w:val="2"/>
        </w:numPr>
        <w:tabs>
          <w:tab w:val="clear" w:pos="1134"/>
          <w:tab w:val="left" w:pos="709" w:leader="none"/>
        </w:tabs>
        <w:bidi w:val="0"/>
        <w:spacing w:before="0" w:after="0"/>
        <w:ind w:start="709" w:hanging="283"/>
        <w:jc w:val="start"/>
        <w:rPr/>
      </w:pPr>
      <w:r>
        <w:rPr/>
        <w:t xml:space="preserve">11-Araki I, Kuno S. Assessment of voiding dysfunction in Parkinson’s disease by the international prostate symptom score. J Neurol Neurosurg and Psych 2000; 68: 429-433. </w:t>
      </w:r>
    </w:p>
    <w:p>
      <w:pPr>
        <w:pStyle w:val="TextBody"/>
        <w:numPr>
          <w:ilvl w:val="0"/>
          <w:numId w:val="2"/>
        </w:numPr>
        <w:tabs>
          <w:tab w:val="clear" w:pos="1134"/>
          <w:tab w:val="left" w:pos="709" w:leader="none"/>
        </w:tabs>
        <w:bidi w:val="0"/>
        <w:spacing w:before="0" w:after="0"/>
        <w:ind w:start="709" w:hanging="283"/>
        <w:jc w:val="start"/>
        <w:rPr/>
      </w:pPr>
      <w:r>
        <w:rPr/>
        <w:t xml:space="preserve">12- Porter B, Walker R. The night time problems facing Parkinson’s patients. CME J Geriat Med 2007; 8: 99-103. </w:t>
      </w:r>
    </w:p>
    <w:p>
      <w:pPr>
        <w:pStyle w:val="TextBody"/>
        <w:numPr>
          <w:ilvl w:val="0"/>
          <w:numId w:val="2"/>
        </w:numPr>
        <w:tabs>
          <w:tab w:val="clear" w:pos="1134"/>
          <w:tab w:val="left" w:pos="709" w:leader="none"/>
        </w:tabs>
        <w:bidi w:val="0"/>
        <w:spacing w:before="0" w:after="0"/>
        <w:ind w:start="709" w:hanging="283"/>
        <w:jc w:val="start"/>
        <w:rPr/>
      </w:pPr>
      <w:r>
        <w:rPr/>
        <w:t xml:space="preserve">13- Araki I, Kitahara M, Oida T, Kuno S. Voiding dysfunction and Parkinson’s disease: urodynamic abnormalities and urinary symptoms. J Urol2000 Nov; 164(5): 1640-3. </w:t>
      </w:r>
    </w:p>
    <w:p>
      <w:pPr>
        <w:pStyle w:val="TextBody"/>
        <w:numPr>
          <w:ilvl w:val="0"/>
          <w:numId w:val="2"/>
        </w:numPr>
        <w:tabs>
          <w:tab w:val="clear" w:pos="1134"/>
          <w:tab w:val="left" w:pos="709" w:leader="none"/>
        </w:tabs>
        <w:bidi w:val="0"/>
        <w:spacing w:before="0" w:after="0"/>
        <w:ind w:start="709" w:hanging="283"/>
        <w:jc w:val="start"/>
        <w:rPr/>
      </w:pPr>
      <w:r>
        <w:rPr/>
        <w:t xml:space="preserve">14-Seki S, Igawa Y, Kaidoh K, Ishizuka O, Nishizawa O, Andersson KE. Role of dopamine D1 and D1 receptors in the micturition reflex in conscious rats. Neurourol Urody2001; 20: 105-13. </w:t>
      </w:r>
    </w:p>
    <w:p>
      <w:pPr>
        <w:pStyle w:val="TextBody"/>
        <w:numPr>
          <w:ilvl w:val="0"/>
          <w:numId w:val="2"/>
        </w:numPr>
        <w:tabs>
          <w:tab w:val="clear" w:pos="1134"/>
          <w:tab w:val="left" w:pos="709" w:leader="none"/>
        </w:tabs>
        <w:bidi w:val="0"/>
        <w:spacing w:before="0" w:after="0"/>
        <w:ind w:start="709" w:hanging="283"/>
        <w:jc w:val="start"/>
        <w:rPr/>
      </w:pPr>
      <w:r>
        <w:rPr/>
        <w:t xml:space="preserve">15-Yoshimura N, Mizuta E, Yoshida O, Kuno S. Therapeutic effects of dopamine D1/D2 receptor agonists on detrusor hyperreflexia in MPTP lesioned parkinsonian cynomoglogous monkeys. J Pharmacol Exper Therap 1998; 286(1): 228-233. </w:t>
      </w:r>
    </w:p>
    <w:p>
      <w:pPr>
        <w:pStyle w:val="TextBody"/>
        <w:numPr>
          <w:ilvl w:val="0"/>
          <w:numId w:val="2"/>
        </w:numPr>
        <w:tabs>
          <w:tab w:val="clear" w:pos="1134"/>
          <w:tab w:val="left" w:pos="709" w:leader="none"/>
        </w:tabs>
        <w:bidi w:val="0"/>
        <w:spacing w:before="0" w:after="0"/>
        <w:ind w:start="709" w:hanging="283"/>
        <w:jc w:val="start"/>
        <w:rPr/>
      </w:pPr>
      <w:r>
        <w:rPr/>
        <w:t xml:space="preserve">16-Pavlakis AJ, Siroky MB, Goldstein I and Krane RJ. Neurourologic findings in Parkinson’s disease. J Urol 1983; 129: 80-83. </w:t>
      </w:r>
    </w:p>
    <w:p>
      <w:pPr>
        <w:pStyle w:val="TextBody"/>
        <w:numPr>
          <w:ilvl w:val="0"/>
          <w:numId w:val="2"/>
        </w:numPr>
        <w:tabs>
          <w:tab w:val="clear" w:pos="1134"/>
          <w:tab w:val="left" w:pos="709" w:leader="none"/>
        </w:tabs>
        <w:bidi w:val="0"/>
        <w:spacing w:before="0" w:after="0"/>
        <w:ind w:start="709" w:hanging="283"/>
        <w:jc w:val="start"/>
        <w:rPr/>
      </w:pPr>
      <w:r>
        <w:rPr/>
        <w:t xml:space="preserve">17-Stocchi F, Carbone A, Inghilleri, et al. Urodynamic and neurophysiological evaluation in Parkinson’s disease and multiple systems atrophy. J Neurol Neurosurg Psych 1997; 62: 507-11. </w:t>
      </w:r>
    </w:p>
    <w:p>
      <w:pPr>
        <w:pStyle w:val="TextBody"/>
        <w:numPr>
          <w:ilvl w:val="0"/>
          <w:numId w:val="2"/>
        </w:numPr>
        <w:tabs>
          <w:tab w:val="clear" w:pos="1134"/>
          <w:tab w:val="left" w:pos="709" w:leader="none"/>
        </w:tabs>
        <w:bidi w:val="0"/>
        <w:spacing w:before="0" w:after="0"/>
        <w:ind w:start="709" w:hanging="283"/>
        <w:jc w:val="start"/>
        <w:rPr/>
      </w:pPr>
      <w:r>
        <w:rPr/>
        <w:t xml:space="preserve">18-Wing K, Werdelin L, Nielson K, Stimpel H. Effects of dopaminergic treatment on bladder function in Parkinson’s disease. Neurourol Urodyn 2004; 23: 689-96. </w:t>
      </w:r>
    </w:p>
    <w:p>
      <w:pPr>
        <w:pStyle w:val="TextBody"/>
        <w:numPr>
          <w:ilvl w:val="0"/>
          <w:numId w:val="2"/>
        </w:numPr>
        <w:tabs>
          <w:tab w:val="clear" w:pos="1134"/>
          <w:tab w:val="left" w:pos="709" w:leader="none"/>
        </w:tabs>
        <w:bidi w:val="0"/>
        <w:spacing w:before="0" w:after="0"/>
        <w:ind w:start="709" w:hanging="283"/>
        <w:jc w:val="start"/>
        <w:rPr/>
      </w:pPr>
      <w:r>
        <w:rPr/>
        <w:t xml:space="preserve">19-Aranda B, Cramer P. Effects of apomorphine and L-dopa on the Parkinsonian bladder. Neurourol Urodyn 1993; 12: 203-209. </w:t>
      </w:r>
    </w:p>
    <w:p>
      <w:pPr>
        <w:pStyle w:val="TextBody"/>
        <w:numPr>
          <w:ilvl w:val="0"/>
          <w:numId w:val="2"/>
        </w:numPr>
        <w:tabs>
          <w:tab w:val="clear" w:pos="1134"/>
          <w:tab w:val="left" w:pos="709" w:leader="none"/>
        </w:tabs>
        <w:bidi w:val="0"/>
        <w:spacing w:before="0" w:after="0"/>
        <w:ind w:start="709" w:hanging="283"/>
        <w:jc w:val="start"/>
        <w:rPr/>
      </w:pPr>
      <w:r>
        <w:rPr/>
        <w:t xml:space="preserve">20-Christmas TJ, Chapple CR, Lees AJ, Kempster PA, Frankel JP, Stern GM. Role of subcutaneous apomorphine in parkinsonian voiding dysfunction. Lancet1988 Dec 24-31; 2(8626-8627): 1451-1453. </w:t>
      </w:r>
    </w:p>
    <w:p>
      <w:pPr>
        <w:pStyle w:val="TextBody"/>
        <w:numPr>
          <w:ilvl w:val="0"/>
          <w:numId w:val="2"/>
        </w:numPr>
        <w:tabs>
          <w:tab w:val="clear" w:pos="1134"/>
          <w:tab w:val="left" w:pos="709" w:leader="none"/>
        </w:tabs>
        <w:bidi w:val="0"/>
        <w:spacing w:before="0" w:after="283"/>
        <w:ind w:start="709" w:hanging="283"/>
        <w:jc w:val="start"/>
        <w:rPr/>
      </w:pPr>
      <w:r>
        <w:rPr/>
        <w:t xml:space="preserve">21- Dubow JS. Autonomic dysfunction in Parkinson’s disease. Dis Mon 2007; 53: 265-274.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https://assignbuster.com/idiopathic-parkinsons-disease/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Idiopathic parkinson's disease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iopathic-parkinsons-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Idiopathic parkinson's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Idiopathic parkinson's disease</dc:title>
  <dc:subject>Others;</dc:subject>
  <dc:creator>AssignBuster</dc:creator>
  <cp:keywords/>
  <dc:description>The aim of this work is to evaluate the urinary symptoms at different stages of IPD severity and its relation to urodynamic tests.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