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Single-port complete thoracoscopic lobectomy feasibility</w:t>
        </w:r>
      </w:hyperlink>
      <w:bookmarkEnd w:id="0"/>
    </w:p>
    <w:p>
      <w:r>
        <w:br w:type="page"/>
      </w:r>
    </w:p>
    <w:p>
      <w:pPr>
        <w:pStyle w:val="Heading2"/>
        <w:bidi w:val="0"/>
        <w:spacing w:before="200" w:after="120"/>
        <w:jc w:val="start"/>
        <w:rPr/>
      </w:pPr>
      <w:r>
        <w:rPr/>
        <w:t xml:space="preserve">Clinical comparisons of single-port versus three-port complete thoracoscopic lobectomy for lung cancer patients </w:t>
      </w:r>
    </w:p>
    <w:p>
      <w:pPr>
        <w:pStyle w:val="Heading3"/>
        <w:bidi w:val="0"/>
        <w:jc w:val="start"/>
        <w:rPr/>
      </w:pPr>
      <w:r>
        <w:rPr/>
        <w:t xml:space="preserve">Abstract </w:t>
      </w:r>
    </w:p>
    <w:p>
      <w:pPr>
        <w:pStyle w:val="TextBody"/>
        <w:bidi w:val="0"/>
        <w:spacing w:before="0" w:after="283"/>
        <w:jc w:val="start"/>
        <w:rPr/>
      </w:pPr>
      <w:r>
        <w:rPr/>
        <w:t xml:space="preserve">Objective: To compare the feasibility and safety of single-port versus three-port complete thoracoscopic lobectomy for lung cancer patients. </w:t>
      </w:r>
    </w:p>
    <w:p>
      <w:pPr>
        <w:pStyle w:val="TextBody"/>
        <w:bidi w:val="0"/>
        <w:spacing w:before="0" w:after="283"/>
        <w:jc w:val="start"/>
        <w:rPr/>
      </w:pPr>
      <w:r>
        <w:rPr/>
        <w:t xml:space="preserve">Methods: A retrospective study was conducted on 60 lung cancer patients from June 2014 to August 2014 in Department of Thoracic Surgery, Union Hospital, Fujian Medical University. There were 30 patients in single-port complete thoracoscopic lobectomy group (single-port group) and other 30 in three-port complete thoracoscopic lobectomy group (three-port group). Total lymph node harvest, mediastinal lymph node harvest, dissection of mediastinal lymph node groups, operation time, intraoperative blood loss, extubation time, postoperative hospital stay, visual analogue scale (VAS) one day after operation, and the complication rate were thoroughly compared between the two groups. </w:t>
      </w:r>
    </w:p>
    <w:p>
      <w:pPr>
        <w:pStyle w:val="TextBody"/>
        <w:bidi w:val="0"/>
        <w:spacing w:before="0" w:after="283"/>
        <w:jc w:val="start"/>
        <w:rPr/>
      </w:pPr>
      <w:r>
        <w:rPr/>
        <w:t xml:space="preserve">Results: There were no significant differences in total lymph node harvest, mediastinal lymph node harvest, dissection of mediastinal lymph node groups, intraoperative blood loss, extubation time, postoperative hospital stay, and complication rate between the two groups (p&gt; 0. 05). However, the operation time of single-port group (209. 0±45. 5 min) was significantly longer than that of three-port group (154. 5±30. 9 min) (p &lt; 0. 05). VAS one day after operation in single-port group (3. 6±0. 7) was significantly lower than that in three-port group (5. 5±1. 0) (p &lt; 0. 05). </w:t>
      </w:r>
    </w:p>
    <w:p>
      <w:pPr>
        <w:pStyle w:val="TextBody"/>
        <w:bidi w:val="0"/>
        <w:spacing w:before="0" w:after="283"/>
        <w:jc w:val="start"/>
        <w:rPr/>
      </w:pPr>
      <w:r>
        <w:rPr/>
        <w:t xml:space="preserve">Conclusion: For lung cancer patients, the feasibility and safety of single-port complete thoracoscopic lobectomy is similar to three-port complete thoracoscopic lobectomy. Compared with three-port complete thoracoscopic lobectomy, the operation time of single-port complete thoracoscopic lobectomy is longer, but its postoperative pain is gentler. As the experience accumulating, single-port complete thoracoscopic lobectomy should be popularized with its merits of minimal invasiveness. </w:t>
      </w:r>
    </w:p>
    <w:p>
      <w:pPr>
        <w:pStyle w:val="TextBody"/>
        <w:bidi w:val="0"/>
        <w:spacing w:before="0" w:after="283"/>
        <w:jc w:val="start"/>
        <w:rPr/>
      </w:pPr>
      <w:r>
        <w:rPr/>
        <w:t xml:space="preserve">Keywords: single-port, three-port, lobectomy, lung cancer. </w:t>
      </w:r>
    </w:p>
    <w:p>
      <w:pPr>
        <w:pStyle w:val="Heading2"/>
        <w:bidi w:val="0"/>
        <w:jc w:val="start"/>
        <w:rPr/>
      </w:pPr>
      <w:r>
        <w:rPr/>
        <w:t xml:space="preserve">Introduction: </w:t>
      </w:r>
    </w:p>
    <w:p>
      <w:pPr>
        <w:pStyle w:val="TextBody"/>
        <w:bidi w:val="0"/>
        <w:spacing w:before="0" w:after="283"/>
        <w:jc w:val="start"/>
        <w:rPr/>
      </w:pPr>
      <w:r>
        <w:rPr/>
        <w:t xml:space="preserve">Currently, lobectomy is the prior intervention to treat early-stage non-small cell lung cancer (NSCLC) [1]. As a minimally invasive technique, thoracoscopic lobectomy has been widely used in current thoracic department [2]. Although single-port complete thoracoscopic lobectomy has been introduced to treat NSCLC, no literature was available to compare its feasibility and safety with three-port complete thoracoscopic lobectomy. Therefore, we conducted a retrospective comparison study in lung cancer patients enrolled from June 2014 to August 2014 to investigate the feasibility and safety of single-port complete thoracoscopic lobectomy. </w:t>
      </w:r>
    </w:p>
    <w:p>
      <w:pPr>
        <w:pStyle w:val="Heading2"/>
        <w:bidi w:val="0"/>
        <w:jc w:val="start"/>
        <w:rPr/>
      </w:pPr>
      <w:r>
        <w:rPr/>
        <w:t xml:space="preserve">1. Methods and materials </w:t>
      </w:r>
    </w:p>
    <w:p>
      <w:pPr>
        <w:pStyle w:val="Heading3"/>
        <w:bidi w:val="0"/>
        <w:jc w:val="start"/>
        <w:rPr/>
      </w:pPr>
      <w:r>
        <w:rPr/>
        <w:t xml:space="preserve">1. 1 General information </w:t>
      </w:r>
    </w:p>
    <w:p>
      <w:pPr>
        <w:pStyle w:val="TextBody"/>
        <w:bidi w:val="0"/>
        <w:spacing w:before="0" w:after="283"/>
        <w:jc w:val="start"/>
        <w:rPr/>
      </w:pPr>
      <w:r>
        <w:rPr/>
        <w:t xml:space="preserve">A total of 60 lung cancer patients from June 2014 to August 2014 in Department of Thoracic Surgery, Fujian Medical University Union Hospital were included in this retrospective study. There were 30 patients in single-port complete thoracoscopic lobectomy group (single-port group) and other 30 in three-port complete thoracoscopic lobectomy group (three-port group). All patients underwent associated examination such as thoracic computed tomography (CT), cerebral magnetic resonance imaging (MRI), skeletal emission computed tomography (ECT), and abdominal and cervical color Doppler ultrasound (CDU). Positron emission tomography-CT (PET-CT) might also need to be conducted to exclude metastasis if necessary. Electrocardiogram, cardiac CDU, and pulmonary function test were conducted to assess cardiopulmonary function. The inclusion criteria include: 1) patients with stage I-II (cTNM classification) peripheral lung cancer; 2) no thoracic surgery history; 3) lobectomy can be tolerated by cardiopulmonary function; 4) preoperative complications have been stably controlled. </w:t>
      </w:r>
    </w:p>
    <w:p>
      <w:pPr>
        <w:pStyle w:val="Heading3"/>
        <w:bidi w:val="0"/>
        <w:jc w:val="start"/>
        <w:rPr/>
      </w:pPr>
      <w:r>
        <w:rPr/>
        <w:t xml:space="preserve">1. 2 Anesthesia and surgical procedure </w:t>
      </w:r>
    </w:p>
    <w:p>
      <w:pPr>
        <w:pStyle w:val="TextBody"/>
        <w:bidi w:val="0"/>
        <w:spacing w:before="0" w:after="283"/>
        <w:jc w:val="start"/>
        <w:rPr/>
      </w:pPr>
      <w:r>
        <w:rPr/>
        <w:t xml:space="preserve">Double-lumen endobronchial tubes (DLT) were used for intubation for the two groups, and the healthy lung received ventilation. All patients underwent thoracoscopic lobectomy under general anesthesia. For single-port group, a 3. 5-4. 5cm incision was made from the 4th intercostal space to the 5th intercostal space along the anterior axillary line. The patients underwent thoracoscopic lobectomy with video assistance. For three-port group, a 1. 5cm observation port was made on the cross point of midaxillary line and the 7th intercostal space, and a 2-4cm operation port was made on the cross point of anterior axillary line and the 4th/5th intercostal space. A 1. 5-2. 5cm operation-aided port was made on the cross point of the 7th intercostal space and infrascapular line. For peripheral lung cancer, pulmonary wedge resection was conducted to remove the focus. Once the resection samples were confirmed as malignant tumor by fast frozen pathology, the following standard lobectomy and mediastinal lymphadenectomy would be employed. For central lung cancer, standard lobectomy was conducted. Once the resection samples were confirmed as malignant tumor by fast frozen pathology, the following mediastinal lymphadenectomy would be employed. Electrocautery and ultrasonic scalpel were used to distract the vessels and bronchus. Suture clamps were used to fix great vessels such as pulmonary veins, pulmonary artery and so on. Hemolock, titanium clip, electrocautery, ultrasonic scalpel and silk ligation were used to handle small vessels. No definite order was made to conduct the lobectomy, which mostly depended on the development of interlobar fissure. Specimen bag was used to extract the removals preventing from contaminating the cuts, and analgesia pumps were used for the two groups. Indications for removing the drain included: 24h drainage flow was less than 100mL; postoperative lung recruitment was favorable without pleural effusion. </w:t>
      </w:r>
    </w:p>
    <w:p>
      <w:pPr>
        <w:pStyle w:val="Heading3"/>
        <w:bidi w:val="0"/>
        <w:jc w:val="start"/>
        <w:rPr/>
      </w:pPr>
      <w:r>
        <w:rPr/>
        <w:t xml:space="preserve">1. 3 Observation parameters </w:t>
      </w:r>
    </w:p>
    <w:p>
      <w:pPr>
        <w:pStyle w:val="TextBody"/>
        <w:bidi w:val="0"/>
        <w:spacing w:before="0" w:after="283"/>
        <w:jc w:val="start"/>
        <w:rPr/>
      </w:pPr>
      <w:r>
        <w:rPr/>
        <w:t xml:space="preserve">The observation parameters included: 1) parameters during perioperative period: operation time, intraoperative blood loss, postoperative drainage flow, postoperative thoracic cavity drainage time, visual analogue scale (VAS) one day after operation, postoperative hospital stay, death rate during perioperative period, complications during perioperative period. 2) parameters related to tumor resection: total lymph node harvest, node-positive number, node-positive rate, N1 lymph nodes, N2 lymph nodes, N2 lymph node rate, and N2 lymph node groups. </w:t>
      </w:r>
    </w:p>
    <w:p>
      <w:pPr>
        <w:pStyle w:val="Heading3"/>
        <w:bidi w:val="0"/>
        <w:jc w:val="start"/>
        <w:rPr/>
      </w:pPr>
      <w:r>
        <w:rPr/>
        <w:t xml:space="preserve">1. 4 Statistical methods </w:t>
      </w:r>
    </w:p>
    <w:p>
      <w:pPr>
        <w:pStyle w:val="TextBody"/>
        <w:bidi w:val="0"/>
        <w:spacing w:before="0" w:after="283"/>
        <w:jc w:val="start"/>
        <w:rPr/>
      </w:pPr>
      <w:r>
        <w:rPr/>
        <w:t xml:space="preserve">Statistical software SPSS 16. 0 was conducted to analyze the data. Quantitative data was showed as x – ±s, and independent t-test was used to test the group comparisons. Enumeration data was presented as rate, and χ </w:t>
      </w:r>
      <w:r>
        <w:rPr>
          <w:position w:val="8"/>
          <w:sz w:val="19"/>
        </w:rPr>
        <w:t xml:space="preserve">ï¼’ </w:t>
      </w:r>
      <w:r>
        <w:rPr/>
        <w:t xml:space="preserve">test was used to test group comparisons. Statistical significance was set as P &lt; 0. 05. </w:t>
      </w:r>
    </w:p>
    <w:p>
      <w:pPr>
        <w:pStyle w:val="Heading2"/>
        <w:bidi w:val="0"/>
        <w:jc w:val="start"/>
        <w:rPr/>
      </w:pPr>
      <w:r>
        <w:rPr/>
        <w:t xml:space="preserve">2. Results </w:t>
      </w:r>
    </w:p>
    <w:p>
      <w:pPr>
        <w:pStyle w:val="Heading3"/>
        <w:bidi w:val="0"/>
        <w:jc w:val="start"/>
        <w:rPr/>
      </w:pPr>
      <w:r>
        <w:rPr/>
        <w:t xml:space="preserve">2. 1 Clinical characteristics </w:t>
      </w:r>
    </w:p>
    <w:p>
      <w:pPr>
        <w:pStyle w:val="TextBody"/>
        <w:bidi w:val="0"/>
        <w:spacing w:before="0" w:after="283"/>
        <w:jc w:val="start"/>
        <w:rPr/>
      </w:pPr>
      <w:r>
        <w:rPr/>
        <w:t xml:space="preserve">There were no significant differences in sex, age, tumor location, postoperative pathological type, tumor invasion, visceral pleura invasion, and tumor classification, respectively (P&gt; 0. 05) (Table 1). In addition, there were no significant differences in total lymph node harvest, positive lymph node number, total mediastinal lymph node harvest, and dissection of mediastinal lymph node groups (P&gt; 0. 05) (Table 2). </w:t>
      </w:r>
    </w:p>
    <w:p>
      <w:pPr>
        <w:pStyle w:val="TextBody"/>
        <w:bidi w:val="0"/>
        <w:spacing w:before="0" w:after="283"/>
        <w:jc w:val="start"/>
        <w:rPr/>
      </w:pPr>
      <w:r>
        <w:rPr/>
        <w:t xml:space="preserve">Table 1. Comparisons of pathological information between single-port group and three-port group. </w:t>
      </w:r>
    </w:p>
    <w:tbl>
      <w:tblPr>
        <w:tblW w:w="8524" w:type="dxa"/>
        <w:jc w:val="start"/>
        <w:tblInd w:w="0" w:type="dxa"/>
        <w:tblLayout w:type="fixed"/>
        <w:tblCellMar>
          <w:top w:w="28" w:type="dxa"/>
          <w:start w:w="28" w:type="dxa"/>
          <w:bottom w:w="28" w:type="dxa"/>
          <w:end w:w="28" w:type="dxa"/>
        </w:tblCellMar>
      </w:tblPr>
      <w:tblGrid>
        <w:gridCol w:w="2461"/>
        <w:gridCol w:w="2596"/>
        <w:gridCol w:w="2551"/>
        <w:gridCol w:w="916"/>
      </w:tblGrid>
      <w:tr>
        <w:trPr/>
        <w:tc>
          <w:tcPr>
            <w:tcW w:w="2461" w:type="dxa"/>
            <w:tcBorders/>
            <w:vAlign w:val="center"/>
          </w:tcPr>
          <w:p>
            <w:pPr>
              <w:pStyle w:val="TableContents"/>
              <w:bidi w:val="0"/>
              <w:spacing w:before="0" w:after="283"/>
              <w:jc w:val="start"/>
              <w:rPr>
                <w:sz w:val="4"/>
                <w:szCs w:val="4"/>
              </w:rPr>
            </w:pPr>
            <w:r>
              <w:rPr>
                <w:sz w:val="4"/>
                <w:szCs w:val="4"/>
              </w:rPr>
            </w:r>
          </w:p>
        </w:tc>
        <w:tc>
          <w:tcPr>
            <w:tcW w:w="2596" w:type="dxa"/>
            <w:tcBorders/>
            <w:vAlign w:val="center"/>
          </w:tcPr>
          <w:p>
            <w:pPr>
              <w:pStyle w:val="TableContents"/>
              <w:bidi w:val="0"/>
              <w:spacing w:before="0" w:after="283"/>
              <w:jc w:val="start"/>
              <w:rPr/>
            </w:pPr>
            <w:r>
              <w:rPr/>
              <w:t xml:space="preserve">Single-port group (n= 30) </w:t>
            </w:r>
          </w:p>
        </w:tc>
        <w:tc>
          <w:tcPr>
            <w:tcW w:w="2551" w:type="dxa"/>
            <w:tcBorders/>
            <w:vAlign w:val="center"/>
          </w:tcPr>
          <w:p>
            <w:pPr>
              <w:pStyle w:val="TableContents"/>
              <w:bidi w:val="0"/>
              <w:spacing w:before="0" w:after="283"/>
              <w:jc w:val="start"/>
              <w:rPr/>
            </w:pPr>
            <w:r>
              <w:rPr/>
              <w:t xml:space="preserve">Three-port group (n= 30) </w:t>
            </w:r>
          </w:p>
        </w:tc>
        <w:tc>
          <w:tcPr>
            <w:tcW w:w="916" w:type="dxa"/>
            <w:tcBorders/>
            <w:vAlign w:val="center"/>
          </w:tcPr>
          <w:p>
            <w:pPr>
              <w:pStyle w:val="TableContents"/>
              <w:bidi w:val="0"/>
              <w:spacing w:before="0" w:after="283"/>
              <w:jc w:val="start"/>
              <w:rPr/>
            </w:pPr>
            <w:r>
              <w:rPr/>
              <w:t xml:space="preserve">P value </w:t>
            </w:r>
          </w:p>
        </w:tc>
      </w:tr>
      <w:tr>
        <w:trPr/>
        <w:tc>
          <w:tcPr>
            <w:tcW w:w="2461" w:type="dxa"/>
            <w:tcBorders/>
            <w:vAlign w:val="center"/>
          </w:tcPr>
          <w:p>
            <w:pPr>
              <w:pStyle w:val="TableContents"/>
              <w:bidi w:val="0"/>
              <w:spacing w:before="0" w:after="283"/>
              <w:jc w:val="start"/>
              <w:rPr/>
            </w:pPr>
            <w:r>
              <w:rPr/>
              <w:t xml:space="preserve">Gender </w:t>
            </w:r>
          </w:p>
        </w:tc>
        <w:tc>
          <w:tcPr>
            <w:tcW w:w="2596" w:type="dxa"/>
            <w:tcBorders/>
            <w:vAlign w:val="center"/>
          </w:tcPr>
          <w:p>
            <w:pPr>
              <w:pStyle w:val="TableContents"/>
              <w:bidi w:val="0"/>
              <w:spacing w:before="0" w:after="283"/>
              <w:jc w:val="start"/>
              <w:rPr>
                <w:sz w:val="4"/>
                <w:szCs w:val="4"/>
              </w:rPr>
            </w:pPr>
            <w:r>
              <w:rPr>
                <w:sz w:val="4"/>
                <w:szCs w:val="4"/>
              </w:rPr>
            </w:r>
          </w:p>
        </w:tc>
        <w:tc>
          <w:tcPr>
            <w:tcW w:w="2551" w:type="dxa"/>
            <w:tcBorders/>
            <w:vAlign w:val="center"/>
          </w:tcPr>
          <w:p>
            <w:pPr>
              <w:pStyle w:val="TableContents"/>
              <w:bidi w:val="0"/>
              <w:spacing w:before="0" w:after="283"/>
              <w:jc w:val="start"/>
              <w:rPr>
                <w:sz w:val="4"/>
                <w:szCs w:val="4"/>
              </w:rPr>
            </w:pPr>
            <w:r>
              <w:rPr>
                <w:sz w:val="4"/>
                <w:szCs w:val="4"/>
              </w:rPr>
            </w:r>
          </w:p>
        </w:tc>
        <w:tc>
          <w:tcPr>
            <w:tcW w:w="916" w:type="dxa"/>
            <w:tcBorders/>
            <w:vAlign w:val="center"/>
          </w:tcPr>
          <w:p>
            <w:pPr>
              <w:pStyle w:val="TableContents"/>
              <w:bidi w:val="0"/>
              <w:spacing w:before="0" w:after="283"/>
              <w:jc w:val="start"/>
              <w:rPr/>
            </w:pPr>
            <w:r>
              <w:rPr/>
              <w:t xml:space="preserve">0. 183 </w:t>
            </w:r>
          </w:p>
        </w:tc>
      </w:tr>
      <w:tr>
        <w:trPr/>
        <w:tc>
          <w:tcPr>
            <w:tcW w:w="2461" w:type="dxa"/>
            <w:tcBorders/>
            <w:vAlign w:val="center"/>
          </w:tcPr>
          <w:p>
            <w:pPr>
              <w:pStyle w:val="TableContents"/>
              <w:bidi w:val="0"/>
              <w:spacing w:before="0" w:after="283"/>
              <w:jc w:val="start"/>
              <w:rPr/>
            </w:pPr>
            <w:r>
              <w:rPr/>
              <w:t xml:space="preserve">Male </w:t>
            </w:r>
          </w:p>
        </w:tc>
        <w:tc>
          <w:tcPr>
            <w:tcW w:w="2596" w:type="dxa"/>
            <w:tcBorders/>
            <w:vAlign w:val="center"/>
          </w:tcPr>
          <w:p>
            <w:pPr>
              <w:pStyle w:val="TableContents"/>
              <w:bidi w:val="0"/>
              <w:spacing w:before="0" w:after="283"/>
              <w:jc w:val="start"/>
              <w:rPr/>
            </w:pPr>
            <w:r>
              <w:rPr/>
              <w:t xml:space="preserve">9 </w:t>
            </w:r>
          </w:p>
        </w:tc>
        <w:tc>
          <w:tcPr>
            <w:tcW w:w="2551" w:type="dxa"/>
            <w:tcBorders/>
            <w:vAlign w:val="center"/>
          </w:tcPr>
          <w:p>
            <w:pPr>
              <w:pStyle w:val="TableContents"/>
              <w:bidi w:val="0"/>
              <w:spacing w:before="0" w:after="283"/>
              <w:jc w:val="start"/>
              <w:rPr/>
            </w:pPr>
            <w:r>
              <w:rPr/>
              <w:t xml:space="preserve">11 </w:t>
            </w:r>
          </w:p>
        </w:tc>
        <w:tc>
          <w:tcPr>
            <w:tcW w:w="916" w:type="dxa"/>
            <w:tcBorders/>
          </w:tcPr>
          <w:p>
            <w:pPr>
              <w:pStyle w:val="TableContents"/>
              <w:bidi w:val="0"/>
              <w:spacing w:before="0" w:after="283"/>
              <w:jc w:val="start"/>
              <w:rPr>
                <w:sz w:val="4"/>
                <w:szCs w:val="4"/>
              </w:rPr>
            </w:pPr>
            <w:r>
              <w:rPr>
                <w:sz w:val="4"/>
                <w:szCs w:val="4"/>
              </w:rPr>
            </w:r>
          </w:p>
        </w:tc>
      </w:tr>
      <w:tr>
        <w:trPr/>
        <w:tc>
          <w:tcPr>
            <w:tcW w:w="2461" w:type="dxa"/>
            <w:tcBorders/>
            <w:vAlign w:val="center"/>
          </w:tcPr>
          <w:p>
            <w:pPr>
              <w:pStyle w:val="TableContents"/>
              <w:bidi w:val="0"/>
              <w:spacing w:before="0" w:after="283"/>
              <w:jc w:val="start"/>
              <w:rPr/>
            </w:pPr>
            <w:r>
              <w:rPr/>
              <w:t xml:space="preserve">Female </w:t>
            </w:r>
          </w:p>
        </w:tc>
        <w:tc>
          <w:tcPr>
            <w:tcW w:w="2596" w:type="dxa"/>
            <w:tcBorders/>
            <w:vAlign w:val="center"/>
          </w:tcPr>
          <w:p>
            <w:pPr>
              <w:pStyle w:val="TableContents"/>
              <w:bidi w:val="0"/>
              <w:spacing w:before="0" w:after="283"/>
              <w:jc w:val="start"/>
              <w:rPr/>
            </w:pPr>
            <w:r>
              <w:rPr/>
              <w:t xml:space="preserve">21 </w:t>
            </w:r>
          </w:p>
        </w:tc>
        <w:tc>
          <w:tcPr>
            <w:tcW w:w="2551" w:type="dxa"/>
            <w:tcBorders/>
            <w:vAlign w:val="center"/>
          </w:tcPr>
          <w:p>
            <w:pPr>
              <w:pStyle w:val="TableContents"/>
              <w:bidi w:val="0"/>
              <w:spacing w:before="0" w:after="283"/>
              <w:jc w:val="start"/>
              <w:rPr/>
            </w:pPr>
            <w:r>
              <w:rPr/>
              <w:t xml:space="preserve">19 </w:t>
            </w:r>
          </w:p>
        </w:tc>
        <w:tc>
          <w:tcPr>
            <w:tcW w:w="916" w:type="dxa"/>
            <w:tcBorders/>
          </w:tcPr>
          <w:p>
            <w:pPr>
              <w:pStyle w:val="TableContents"/>
              <w:bidi w:val="0"/>
              <w:spacing w:before="0" w:after="283"/>
              <w:jc w:val="start"/>
              <w:rPr>
                <w:sz w:val="4"/>
                <w:szCs w:val="4"/>
              </w:rPr>
            </w:pPr>
            <w:r>
              <w:rPr>
                <w:sz w:val="4"/>
                <w:szCs w:val="4"/>
              </w:rPr>
            </w:r>
          </w:p>
        </w:tc>
      </w:tr>
      <w:tr>
        <w:trPr/>
        <w:tc>
          <w:tcPr>
            <w:tcW w:w="2461" w:type="dxa"/>
            <w:tcBorders/>
            <w:vAlign w:val="center"/>
          </w:tcPr>
          <w:p>
            <w:pPr>
              <w:pStyle w:val="TableContents"/>
              <w:bidi w:val="0"/>
              <w:spacing w:before="0" w:after="283"/>
              <w:jc w:val="start"/>
              <w:rPr/>
            </w:pPr>
            <w:r>
              <w:rPr/>
              <w:t xml:space="preserve">Age (year)* </w:t>
            </w:r>
          </w:p>
        </w:tc>
        <w:tc>
          <w:tcPr>
            <w:tcW w:w="2596" w:type="dxa"/>
            <w:tcBorders/>
            <w:vAlign w:val="center"/>
          </w:tcPr>
          <w:p>
            <w:pPr>
              <w:pStyle w:val="TableContents"/>
              <w:bidi w:val="0"/>
              <w:spacing w:before="0" w:after="283"/>
              <w:jc w:val="start"/>
              <w:rPr/>
            </w:pPr>
            <w:r>
              <w:rPr/>
              <w:t xml:space="preserve">25-77(61) </w:t>
            </w:r>
          </w:p>
        </w:tc>
        <w:tc>
          <w:tcPr>
            <w:tcW w:w="2551" w:type="dxa"/>
            <w:tcBorders/>
            <w:vAlign w:val="center"/>
          </w:tcPr>
          <w:p>
            <w:pPr>
              <w:pStyle w:val="TableContents"/>
              <w:bidi w:val="0"/>
              <w:spacing w:before="0" w:after="283"/>
              <w:jc w:val="start"/>
              <w:rPr/>
            </w:pPr>
            <w:r>
              <w:rPr/>
              <w:t xml:space="preserve">45-70(58) </w:t>
            </w:r>
          </w:p>
        </w:tc>
        <w:tc>
          <w:tcPr>
            <w:tcW w:w="916" w:type="dxa"/>
            <w:tcBorders/>
            <w:vAlign w:val="center"/>
          </w:tcPr>
          <w:p>
            <w:pPr>
              <w:pStyle w:val="TableContents"/>
              <w:bidi w:val="0"/>
              <w:spacing w:before="0" w:after="283"/>
              <w:jc w:val="start"/>
              <w:rPr/>
            </w:pPr>
            <w:r>
              <w:rPr/>
              <w:t xml:space="preserve">0. 583 </w:t>
            </w:r>
          </w:p>
        </w:tc>
      </w:tr>
      <w:tr>
        <w:trPr/>
        <w:tc>
          <w:tcPr>
            <w:tcW w:w="2461" w:type="dxa"/>
            <w:tcBorders/>
            <w:vAlign w:val="center"/>
          </w:tcPr>
          <w:p>
            <w:pPr>
              <w:pStyle w:val="TableContents"/>
              <w:bidi w:val="0"/>
              <w:spacing w:before="0" w:after="283"/>
              <w:jc w:val="start"/>
              <w:rPr/>
            </w:pPr>
            <w:r>
              <w:rPr/>
              <w:t xml:space="preserve">Tumor location </w:t>
            </w:r>
          </w:p>
        </w:tc>
        <w:tc>
          <w:tcPr>
            <w:tcW w:w="2596" w:type="dxa"/>
            <w:tcBorders/>
            <w:vAlign w:val="center"/>
          </w:tcPr>
          <w:p>
            <w:pPr>
              <w:pStyle w:val="TableContents"/>
              <w:bidi w:val="0"/>
              <w:spacing w:before="0" w:after="283"/>
              <w:jc w:val="start"/>
              <w:rPr>
                <w:sz w:val="4"/>
                <w:szCs w:val="4"/>
              </w:rPr>
            </w:pPr>
            <w:r>
              <w:rPr>
                <w:sz w:val="4"/>
                <w:szCs w:val="4"/>
              </w:rPr>
            </w:r>
          </w:p>
        </w:tc>
        <w:tc>
          <w:tcPr>
            <w:tcW w:w="2551" w:type="dxa"/>
            <w:tcBorders/>
            <w:vAlign w:val="center"/>
          </w:tcPr>
          <w:p>
            <w:pPr>
              <w:pStyle w:val="TableContents"/>
              <w:bidi w:val="0"/>
              <w:spacing w:before="0" w:after="283"/>
              <w:jc w:val="start"/>
              <w:rPr>
                <w:sz w:val="4"/>
                <w:szCs w:val="4"/>
              </w:rPr>
            </w:pPr>
            <w:r>
              <w:rPr>
                <w:sz w:val="4"/>
                <w:szCs w:val="4"/>
              </w:rPr>
            </w:r>
          </w:p>
        </w:tc>
        <w:tc>
          <w:tcPr>
            <w:tcW w:w="916" w:type="dxa"/>
            <w:tcBorders/>
            <w:vAlign w:val="center"/>
          </w:tcPr>
          <w:p>
            <w:pPr>
              <w:pStyle w:val="TableContents"/>
              <w:bidi w:val="0"/>
              <w:spacing w:before="0" w:after="283"/>
              <w:jc w:val="start"/>
              <w:rPr/>
            </w:pPr>
            <w:r>
              <w:rPr/>
              <w:t xml:space="preserve">0. 096 </w:t>
            </w:r>
          </w:p>
        </w:tc>
      </w:tr>
      <w:tr>
        <w:trPr/>
        <w:tc>
          <w:tcPr>
            <w:tcW w:w="2461" w:type="dxa"/>
            <w:tcBorders/>
            <w:vAlign w:val="center"/>
          </w:tcPr>
          <w:p>
            <w:pPr>
              <w:pStyle w:val="TableContents"/>
              <w:bidi w:val="0"/>
              <w:spacing w:before="0" w:after="283"/>
              <w:jc w:val="start"/>
              <w:rPr/>
            </w:pPr>
            <w:r>
              <w:rPr/>
              <w:t xml:space="preserve">Left upper lobe </w:t>
            </w:r>
          </w:p>
        </w:tc>
        <w:tc>
          <w:tcPr>
            <w:tcW w:w="2596" w:type="dxa"/>
            <w:tcBorders/>
            <w:vAlign w:val="center"/>
          </w:tcPr>
          <w:p>
            <w:pPr>
              <w:pStyle w:val="TableContents"/>
              <w:bidi w:val="0"/>
              <w:spacing w:before="0" w:after="283"/>
              <w:jc w:val="start"/>
              <w:rPr/>
            </w:pPr>
            <w:r>
              <w:rPr/>
              <w:t xml:space="preserve">8 </w:t>
            </w:r>
          </w:p>
        </w:tc>
        <w:tc>
          <w:tcPr>
            <w:tcW w:w="2551" w:type="dxa"/>
            <w:tcBorders/>
            <w:vAlign w:val="center"/>
          </w:tcPr>
          <w:p>
            <w:pPr>
              <w:pStyle w:val="TableContents"/>
              <w:bidi w:val="0"/>
              <w:spacing w:before="0" w:after="283"/>
              <w:jc w:val="start"/>
              <w:rPr/>
            </w:pPr>
            <w:r>
              <w:rPr/>
              <w:t xml:space="preserve">4 </w:t>
            </w:r>
          </w:p>
        </w:tc>
        <w:tc>
          <w:tcPr>
            <w:tcW w:w="916" w:type="dxa"/>
            <w:tcBorders/>
          </w:tcPr>
          <w:p>
            <w:pPr>
              <w:pStyle w:val="TableContents"/>
              <w:bidi w:val="0"/>
              <w:spacing w:before="0" w:after="283"/>
              <w:jc w:val="start"/>
              <w:rPr>
                <w:sz w:val="4"/>
                <w:szCs w:val="4"/>
              </w:rPr>
            </w:pPr>
            <w:r>
              <w:rPr>
                <w:sz w:val="4"/>
                <w:szCs w:val="4"/>
              </w:rPr>
            </w:r>
          </w:p>
        </w:tc>
      </w:tr>
      <w:tr>
        <w:trPr/>
        <w:tc>
          <w:tcPr>
            <w:tcW w:w="2461" w:type="dxa"/>
            <w:tcBorders/>
            <w:vAlign w:val="center"/>
          </w:tcPr>
          <w:p>
            <w:pPr>
              <w:pStyle w:val="TableContents"/>
              <w:bidi w:val="0"/>
              <w:spacing w:before="0" w:after="283"/>
              <w:jc w:val="start"/>
              <w:rPr/>
            </w:pPr>
            <w:r>
              <w:rPr/>
              <w:t xml:space="preserve">Left inferior lobe </w:t>
            </w:r>
          </w:p>
        </w:tc>
        <w:tc>
          <w:tcPr>
            <w:tcW w:w="2596" w:type="dxa"/>
            <w:tcBorders/>
            <w:vAlign w:val="center"/>
          </w:tcPr>
          <w:p>
            <w:pPr>
              <w:pStyle w:val="TableContents"/>
              <w:bidi w:val="0"/>
              <w:spacing w:before="0" w:after="283"/>
              <w:jc w:val="start"/>
              <w:rPr/>
            </w:pPr>
            <w:r>
              <w:rPr/>
              <w:t xml:space="preserve">5 </w:t>
            </w:r>
          </w:p>
        </w:tc>
        <w:tc>
          <w:tcPr>
            <w:tcW w:w="2551" w:type="dxa"/>
            <w:tcBorders/>
            <w:vAlign w:val="center"/>
          </w:tcPr>
          <w:p>
            <w:pPr>
              <w:pStyle w:val="TableContents"/>
              <w:bidi w:val="0"/>
              <w:spacing w:before="0" w:after="283"/>
              <w:jc w:val="start"/>
              <w:rPr/>
            </w:pPr>
            <w:r>
              <w:rPr/>
              <w:t xml:space="preserve">3 </w:t>
            </w:r>
          </w:p>
        </w:tc>
        <w:tc>
          <w:tcPr>
            <w:tcW w:w="916" w:type="dxa"/>
            <w:tcBorders/>
          </w:tcPr>
          <w:p>
            <w:pPr>
              <w:pStyle w:val="TableContents"/>
              <w:bidi w:val="0"/>
              <w:spacing w:before="0" w:after="283"/>
              <w:jc w:val="start"/>
              <w:rPr>
                <w:sz w:val="4"/>
                <w:szCs w:val="4"/>
              </w:rPr>
            </w:pPr>
            <w:r>
              <w:rPr>
                <w:sz w:val="4"/>
                <w:szCs w:val="4"/>
              </w:rPr>
            </w:r>
          </w:p>
        </w:tc>
      </w:tr>
      <w:tr>
        <w:trPr/>
        <w:tc>
          <w:tcPr>
            <w:tcW w:w="2461" w:type="dxa"/>
            <w:tcBorders/>
            <w:vAlign w:val="center"/>
          </w:tcPr>
          <w:p>
            <w:pPr>
              <w:pStyle w:val="TableContents"/>
              <w:bidi w:val="0"/>
              <w:spacing w:before="0" w:after="283"/>
              <w:jc w:val="start"/>
              <w:rPr/>
            </w:pPr>
            <w:r>
              <w:rPr/>
              <w:t xml:space="preserve">Right upper lobe </w:t>
            </w:r>
          </w:p>
        </w:tc>
        <w:tc>
          <w:tcPr>
            <w:tcW w:w="2596" w:type="dxa"/>
            <w:tcBorders/>
            <w:vAlign w:val="center"/>
          </w:tcPr>
          <w:p>
            <w:pPr>
              <w:pStyle w:val="TableContents"/>
              <w:bidi w:val="0"/>
              <w:spacing w:before="0" w:after="283"/>
              <w:jc w:val="start"/>
              <w:rPr/>
            </w:pPr>
            <w:r>
              <w:rPr/>
              <w:t xml:space="preserve">8 </w:t>
            </w:r>
          </w:p>
        </w:tc>
        <w:tc>
          <w:tcPr>
            <w:tcW w:w="2551" w:type="dxa"/>
            <w:tcBorders/>
            <w:vAlign w:val="center"/>
          </w:tcPr>
          <w:p>
            <w:pPr>
              <w:pStyle w:val="TableContents"/>
              <w:bidi w:val="0"/>
              <w:spacing w:before="0" w:after="283"/>
              <w:jc w:val="start"/>
              <w:rPr/>
            </w:pPr>
            <w:r>
              <w:rPr/>
              <w:t xml:space="preserve">9 </w:t>
            </w:r>
          </w:p>
        </w:tc>
        <w:tc>
          <w:tcPr>
            <w:tcW w:w="916" w:type="dxa"/>
            <w:tcBorders/>
          </w:tcPr>
          <w:p>
            <w:pPr>
              <w:pStyle w:val="TableContents"/>
              <w:bidi w:val="0"/>
              <w:spacing w:before="0" w:after="283"/>
              <w:jc w:val="start"/>
              <w:rPr>
                <w:sz w:val="4"/>
                <w:szCs w:val="4"/>
              </w:rPr>
            </w:pPr>
            <w:r>
              <w:rPr>
                <w:sz w:val="4"/>
                <w:szCs w:val="4"/>
              </w:rPr>
            </w:r>
          </w:p>
        </w:tc>
      </w:tr>
      <w:tr>
        <w:trPr/>
        <w:tc>
          <w:tcPr>
            <w:tcW w:w="2461" w:type="dxa"/>
            <w:tcBorders/>
            <w:vAlign w:val="center"/>
          </w:tcPr>
          <w:p>
            <w:pPr>
              <w:pStyle w:val="TableContents"/>
              <w:bidi w:val="0"/>
              <w:spacing w:before="0" w:after="283"/>
              <w:jc w:val="start"/>
              <w:rPr/>
            </w:pPr>
            <w:r>
              <w:rPr/>
              <w:t xml:space="preserve">Right middle lobe </w:t>
            </w:r>
          </w:p>
        </w:tc>
        <w:tc>
          <w:tcPr>
            <w:tcW w:w="2596" w:type="dxa"/>
            <w:tcBorders/>
            <w:vAlign w:val="center"/>
          </w:tcPr>
          <w:p>
            <w:pPr>
              <w:pStyle w:val="TableContents"/>
              <w:bidi w:val="0"/>
              <w:spacing w:before="0" w:after="283"/>
              <w:jc w:val="start"/>
              <w:rPr/>
            </w:pPr>
            <w:r>
              <w:rPr/>
              <w:t xml:space="preserve">3 </w:t>
            </w:r>
          </w:p>
        </w:tc>
        <w:tc>
          <w:tcPr>
            <w:tcW w:w="2551" w:type="dxa"/>
            <w:tcBorders/>
            <w:vAlign w:val="center"/>
          </w:tcPr>
          <w:p>
            <w:pPr>
              <w:pStyle w:val="TableContents"/>
              <w:bidi w:val="0"/>
              <w:spacing w:before="0" w:after="283"/>
              <w:jc w:val="start"/>
              <w:rPr/>
            </w:pPr>
            <w:r>
              <w:rPr/>
              <w:t xml:space="preserve">4 </w:t>
            </w:r>
          </w:p>
        </w:tc>
        <w:tc>
          <w:tcPr>
            <w:tcW w:w="916" w:type="dxa"/>
            <w:tcBorders/>
          </w:tcPr>
          <w:p>
            <w:pPr>
              <w:pStyle w:val="TableContents"/>
              <w:bidi w:val="0"/>
              <w:spacing w:before="0" w:after="283"/>
              <w:jc w:val="start"/>
              <w:rPr>
                <w:sz w:val="4"/>
                <w:szCs w:val="4"/>
              </w:rPr>
            </w:pPr>
            <w:r>
              <w:rPr>
                <w:sz w:val="4"/>
                <w:szCs w:val="4"/>
              </w:rPr>
            </w:r>
          </w:p>
        </w:tc>
      </w:tr>
      <w:tr>
        <w:trPr/>
        <w:tc>
          <w:tcPr>
            <w:tcW w:w="2461" w:type="dxa"/>
            <w:tcBorders/>
            <w:vAlign w:val="center"/>
          </w:tcPr>
          <w:p>
            <w:pPr>
              <w:pStyle w:val="TableContents"/>
              <w:bidi w:val="0"/>
              <w:spacing w:before="0" w:after="283"/>
              <w:jc w:val="start"/>
              <w:rPr/>
            </w:pPr>
            <w:r>
              <w:rPr/>
              <w:t xml:space="preserve">Right inferior lobe </w:t>
            </w:r>
          </w:p>
        </w:tc>
        <w:tc>
          <w:tcPr>
            <w:tcW w:w="2596" w:type="dxa"/>
            <w:tcBorders/>
            <w:vAlign w:val="center"/>
          </w:tcPr>
          <w:p>
            <w:pPr>
              <w:pStyle w:val="TableContents"/>
              <w:bidi w:val="0"/>
              <w:spacing w:before="0" w:after="283"/>
              <w:jc w:val="start"/>
              <w:rPr/>
            </w:pPr>
            <w:r>
              <w:rPr/>
              <w:t xml:space="preserve">6 </w:t>
            </w:r>
          </w:p>
        </w:tc>
        <w:tc>
          <w:tcPr>
            <w:tcW w:w="2551" w:type="dxa"/>
            <w:tcBorders/>
            <w:vAlign w:val="center"/>
          </w:tcPr>
          <w:p>
            <w:pPr>
              <w:pStyle w:val="TableContents"/>
              <w:bidi w:val="0"/>
              <w:spacing w:before="0" w:after="283"/>
              <w:jc w:val="start"/>
              <w:rPr/>
            </w:pPr>
            <w:r>
              <w:rPr/>
              <w:t xml:space="preserve">10 </w:t>
            </w:r>
          </w:p>
        </w:tc>
        <w:tc>
          <w:tcPr>
            <w:tcW w:w="916" w:type="dxa"/>
            <w:tcBorders/>
          </w:tcPr>
          <w:p>
            <w:pPr>
              <w:pStyle w:val="TableContents"/>
              <w:bidi w:val="0"/>
              <w:spacing w:before="0" w:after="283"/>
              <w:jc w:val="start"/>
              <w:rPr>
                <w:sz w:val="4"/>
                <w:szCs w:val="4"/>
              </w:rPr>
            </w:pPr>
            <w:r>
              <w:rPr>
                <w:sz w:val="4"/>
                <w:szCs w:val="4"/>
              </w:rPr>
            </w:r>
          </w:p>
        </w:tc>
      </w:tr>
      <w:tr>
        <w:trPr/>
        <w:tc>
          <w:tcPr>
            <w:tcW w:w="2461" w:type="dxa"/>
            <w:tcBorders/>
            <w:vAlign w:val="center"/>
          </w:tcPr>
          <w:p>
            <w:pPr>
              <w:pStyle w:val="TableContents"/>
              <w:bidi w:val="0"/>
              <w:spacing w:before="0" w:after="283"/>
              <w:jc w:val="start"/>
              <w:rPr/>
            </w:pPr>
            <w:r>
              <w:rPr/>
              <w:t xml:space="preserve">Tumor type </w:t>
            </w:r>
          </w:p>
        </w:tc>
        <w:tc>
          <w:tcPr>
            <w:tcW w:w="2596" w:type="dxa"/>
            <w:tcBorders/>
            <w:vAlign w:val="center"/>
          </w:tcPr>
          <w:p>
            <w:pPr>
              <w:pStyle w:val="TableContents"/>
              <w:bidi w:val="0"/>
              <w:spacing w:before="0" w:after="283"/>
              <w:jc w:val="start"/>
              <w:rPr>
                <w:sz w:val="4"/>
                <w:szCs w:val="4"/>
              </w:rPr>
            </w:pPr>
            <w:r>
              <w:rPr>
                <w:sz w:val="4"/>
                <w:szCs w:val="4"/>
              </w:rPr>
            </w:r>
          </w:p>
        </w:tc>
        <w:tc>
          <w:tcPr>
            <w:tcW w:w="2551" w:type="dxa"/>
            <w:tcBorders/>
            <w:vAlign w:val="center"/>
          </w:tcPr>
          <w:p>
            <w:pPr>
              <w:pStyle w:val="TableContents"/>
              <w:bidi w:val="0"/>
              <w:spacing w:before="0" w:after="283"/>
              <w:jc w:val="start"/>
              <w:rPr>
                <w:sz w:val="4"/>
                <w:szCs w:val="4"/>
              </w:rPr>
            </w:pPr>
            <w:r>
              <w:rPr>
                <w:sz w:val="4"/>
                <w:szCs w:val="4"/>
              </w:rPr>
            </w:r>
          </w:p>
        </w:tc>
        <w:tc>
          <w:tcPr>
            <w:tcW w:w="916" w:type="dxa"/>
            <w:tcBorders/>
            <w:vAlign w:val="center"/>
          </w:tcPr>
          <w:p>
            <w:pPr>
              <w:pStyle w:val="TableContents"/>
              <w:bidi w:val="0"/>
              <w:spacing w:before="0" w:after="283"/>
              <w:jc w:val="start"/>
              <w:rPr/>
            </w:pPr>
            <w:r>
              <w:rPr/>
              <w:t xml:space="preserve">0. 341 </w:t>
            </w:r>
          </w:p>
        </w:tc>
      </w:tr>
      <w:tr>
        <w:trPr/>
        <w:tc>
          <w:tcPr>
            <w:tcW w:w="2461" w:type="dxa"/>
            <w:tcBorders/>
            <w:vAlign w:val="center"/>
          </w:tcPr>
          <w:p>
            <w:pPr>
              <w:pStyle w:val="TableContents"/>
              <w:bidi w:val="0"/>
              <w:spacing w:before="0" w:after="283"/>
              <w:jc w:val="start"/>
              <w:rPr/>
            </w:pPr>
            <w:r>
              <w:rPr/>
              <w:t xml:space="preserve">Adenocarcinoma </w:t>
            </w:r>
          </w:p>
        </w:tc>
        <w:tc>
          <w:tcPr>
            <w:tcW w:w="2596" w:type="dxa"/>
            <w:tcBorders/>
            <w:vAlign w:val="center"/>
          </w:tcPr>
          <w:p>
            <w:pPr>
              <w:pStyle w:val="TableContents"/>
              <w:bidi w:val="0"/>
              <w:spacing w:before="0" w:after="283"/>
              <w:jc w:val="start"/>
              <w:rPr/>
            </w:pPr>
            <w:r>
              <w:rPr/>
              <w:t xml:space="preserve">25 </w:t>
            </w:r>
          </w:p>
        </w:tc>
        <w:tc>
          <w:tcPr>
            <w:tcW w:w="2551" w:type="dxa"/>
            <w:tcBorders/>
            <w:vAlign w:val="center"/>
          </w:tcPr>
          <w:p>
            <w:pPr>
              <w:pStyle w:val="TableContents"/>
              <w:bidi w:val="0"/>
              <w:spacing w:before="0" w:after="283"/>
              <w:jc w:val="start"/>
              <w:rPr/>
            </w:pPr>
            <w:r>
              <w:rPr/>
              <w:t xml:space="preserve">22 </w:t>
            </w:r>
          </w:p>
        </w:tc>
        <w:tc>
          <w:tcPr>
            <w:tcW w:w="916" w:type="dxa"/>
            <w:tcBorders/>
          </w:tcPr>
          <w:p>
            <w:pPr>
              <w:pStyle w:val="TableContents"/>
              <w:bidi w:val="0"/>
              <w:spacing w:before="0" w:after="283"/>
              <w:jc w:val="start"/>
              <w:rPr>
                <w:sz w:val="4"/>
                <w:szCs w:val="4"/>
              </w:rPr>
            </w:pPr>
            <w:r>
              <w:rPr>
                <w:sz w:val="4"/>
                <w:szCs w:val="4"/>
              </w:rPr>
            </w:r>
          </w:p>
        </w:tc>
      </w:tr>
      <w:tr>
        <w:trPr/>
        <w:tc>
          <w:tcPr>
            <w:tcW w:w="2461" w:type="dxa"/>
            <w:tcBorders/>
            <w:vAlign w:val="center"/>
          </w:tcPr>
          <w:p>
            <w:pPr>
              <w:pStyle w:val="TableContents"/>
              <w:bidi w:val="0"/>
              <w:spacing w:before="0" w:after="283"/>
              <w:jc w:val="start"/>
              <w:rPr/>
            </w:pPr>
            <w:r>
              <w:rPr/>
              <w:t xml:space="preserve">Squamous carcinoma </w:t>
            </w:r>
          </w:p>
        </w:tc>
        <w:tc>
          <w:tcPr>
            <w:tcW w:w="2596" w:type="dxa"/>
            <w:tcBorders/>
            <w:vAlign w:val="center"/>
          </w:tcPr>
          <w:p>
            <w:pPr>
              <w:pStyle w:val="TableContents"/>
              <w:bidi w:val="0"/>
              <w:spacing w:before="0" w:after="283"/>
              <w:jc w:val="start"/>
              <w:rPr/>
            </w:pPr>
            <w:r>
              <w:rPr/>
              <w:t xml:space="preserve">2 </w:t>
            </w:r>
          </w:p>
        </w:tc>
        <w:tc>
          <w:tcPr>
            <w:tcW w:w="2551" w:type="dxa"/>
            <w:tcBorders/>
            <w:vAlign w:val="center"/>
          </w:tcPr>
          <w:p>
            <w:pPr>
              <w:pStyle w:val="TableContents"/>
              <w:bidi w:val="0"/>
              <w:spacing w:before="0" w:after="283"/>
              <w:jc w:val="start"/>
              <w:rPr/>
            </w:pPr>
            <w:r>
              <w:rPr/>
              <w:t xml:space="preserve">6 </w:t>
            </w:r>
          </w:p>
        </w:tc>
        <w:tc>
          <w:tcPr>
            <w:tcW w:w="916" w:type="dxa"/>
            <w:tcBorders/>
          </w:tcPr>
          <w:p>
            <w:pPr>
              <w:pStyle w:val="TableContents"/>
              <w:bidi w:val="0"/>
              <w:spacing w:before="0" w:after="283"/>
              <w:jc w:val="start"/>
              <w:rPr>
                <w:sz w:val="4"/>
                <w:szCs w:val="4"/>
              </w:rPr>
            </w:pPr>
            <w:r>
              <w:rPr>
                <w:sz w:val="4"/>
                <w:szCs w:val="4"/>
              </w:rPr>
            </w:r>
          </w:p>
        </w:tc>
      </w:tr>
      <w:tr>
        <w:trPr/>
        <w:tc>
          <w:tcPr>
            <w:tcW w:w="2461" w:type="dxa"/>
            <w:tcBorders/>
            <w:vAlign w:val="center"/>
          </w:tcPr>
          <w:p>
            <w:pPr>
              <w:pStyle w:val="TableContents"/>
              <w:bidi w:val="0"/>
              <w:spacing w:before="0" w:after="283"/>
              <w:jc w:val="start"/>
              <w:rPr/>
            </w:pPr>
            <w:r>
              <w:rPr/>
              <w:t xml:space="preserve">Others </w:t>
            </w:r>
          </w:p>
        </w:tc>
        <w:tc>
          <w:tcPr>
            <w:tcW w:w="2596" w:type="dxa"/>
            <w:tcBorders/>
            <w:vAlign w:val="center"/>
          </w:tcPr>
          <w:p>
            <w:pPr>
              <w:pStyle w:val="TableContents"/>
              <w:bidi w:val="0"/>
              <w:spacing w:before="0" w:after="283"/>
              <w:jc w:val="start"/>
              <w:rPr/>
            </w:pPr>
            <w:r>
              <w:rPr/>
              <w:t xml:space="preserve">3 </w:t>
            </w:r>
          </w:p>
        </w:tc>
        <w:tc>
          <w:tcPr>
            <w:tcW w:w="2551" w:type="dxa"/>
            <w:tcBorders/>
            <w:vAlign w:val="center"/>
          </w:tcPr>
          <w:p>
            <w:pPr>
              <w:pStyle w:val="TableContents"/>
              <w:bidi w:val="0"/>
              <w:spacing w:before="0" w:after="283"/>
              <w:jc w:val="start"/>
              <w:rPr/>
            </w:pPr>
            <w:r>
              <w:rPr/>
              <w:t xml:space="preserve">2 </w:t>
            </w:r>
          </w:p>
        </w:tc>
        <w:tc>
          <w:tcPr>
            <w:tcW w:w="916" w:type="dxa"/>
            <w:tcBorders/>
          </w:tcPr>
          <w:p>
            <w:pPr>
              <w:pStyle w:val="TableContents"/>
              <w:bidi w:val="0"/>
              <w:spacing w:before="0" w:after="283"/>
              <w:jc w:val="start"/>
              <w:rPr>
                <w:sz w:val="4"/>
                <w:szCs w:val="4"/>
              </w:rPr>
            </w:pPr>
            <w:r>
              <w:rPr>
                <w:sz w:val="4"/>
                <w:szCs w:val="4"/>
              </w:rPr>
            </w:r>
          </w:p>
        </w:tc>
      </w:tr>
      <w:tr>
        <w:trPr/>
        <w:tc>
          <w:tcPr>
            <w:tcW w:w="2461" w:type="dxa"/>
            <w:tcBorders/>
            <w:vAlign w:val="center"/>
          </w:tcPr>
          <w:p>
            <w:pPr>
              <w:pStyle w:val="TableContents"/>
              <w:bidi w:val="0"/>
              <w:spacing w:before="0" w:after="283"/>
              <w:jc w:val="start"/>
              <w:rPr/>
            </w:pPr>
            <w:r>
              <w:rPr/>
              <w:t xml:space="preserve">Tumor invasion </w:t>
            </w:r>
          </w:p>
        </w:tc>
        <w:tc>
          <w:tcPr>
            <w:tcW w:w="2596" w:type="dxa"/>
            <w:tcBorders/>
            <w:vAlign w:val="center"/>
          </w:tcPr>
          <w:p>
            <w:pPr>
              <w:pStyle w:val="TableContents"/>
              <w:bidi w:val="0"/>
              <w:spacing w:before="0" w:after="283"/>
              <w:jc w:val="start"/>
              <w:rPr>
                <w:sz w:val="4"/>
                <w:szCs w:val="4"/>
              </w:rPr>
            </w:pPr>
            <w:r>
              <w:rPr>
                <w:sz w:val="4"/>
                <w:szCs w:val="4"/>
              </w:rPr>
            </w:r>
          </w:p>
        </w:tc>
        <w:tc>
          <w:tcPr>
            <w:tcW w:w="2551" w:type="dxa"/>
            <w:tcBorders/>
            <w:vAlign w:val="center"/>
          </w:tcPr>
          <w:p>
            <w:pPr>
              <w:pStyle w:val="TableContents"/>
              <w:bidi w:val="0"/>
              <w:spacing w:before="0" w:after="283"/>
              <w:jc w:val="start"/>
              <w:rPr>
                <w:sz w:val="4"/>
                <w:szCs w:val="4"/>
              </w:rPr>
            </w:pPr>
            <w:r>
              <w:rPr>
                <w:sz w:val="4"/>
                <w:szCs w:val="4"/>
              </w:rPr>
            </w:r>
          </w:p>
        </w:tc>
        <w:tc>
          <w:tcPr>
            <w:tcW w:w="916" w:type="dxa"/>
            <w:tcBorders/>
            <w:vAlign w:val="center"/>
          </w:tcPr>
          <w:p>
            <w:pPr>
              <w:pStyle w:val="TableContents"/>
              <w:bidi w:val="0"/>
              <w:spacing w:before="0" w:after="283"/>
              <w:jc w:val="start"/>
              <w:rPr/>
            </w:pPr>
            <w:r>
              <w:rPr/>
              <w:t xml:space="preserve">0. 583 </w:t>
            </w:r>
          </w:p>
        </w:tc>
      </w:tr>
      <w:tr>
        <w:trPr/>
        <w:tc>
          <w:tcPr>
            <w:tcW w:w="2461" w:type="dxa"/>
            <w:tcBorders/>
            <w:vAlign w:val="center"/>
          </w:tcPr>
          <w:p>
            <w:pPr>
              <w:pStyle w:val="TableContents"/>
              <w:bidi w:val="0"/>
              <w:spacing w:before="0" w:after="283"/>
              <w:jc w:val="start"/>
              <w:rPr/>
            </w:pPr>
            <w:r>
              <w:rPr/>
              <w:t xml:space="preserve">Carcinoma in situ </w:t>
            </w:r>
          </w:p>
        </w:tc>
        <w:tc>
          <w:tcPr>
            <w:tcW w:w="2596" w:type="dxa"/>
            <w:tcBorders/>
            <w:vAlign w:val="center"/>
          </w:tcPr>
          <w:p>
            <w:pPr>
              <w:pStyle w:val="TableContents"/>
              <w:bidi w:val="0"/>
              <w:spacing w:before="0" w:after="283"/>
              <w:jc w:val="start"/>
              <w:rPr/>
            </w:pPr>
            <w:r>
              <w:rPr/>
              <w:t xml:space="preserve">2 </w:t>
            </w:r>
          </w:p>
        </w:tc>
        <w:tc>
          <w:tcPr>
            <w:tcW w:w="2551" w:type="dxa"/>
            <w:tcBorders/>
            <w:vAlign w:val="center"/>
          </w:tcPr>
          <w:p>
            <w:pPr>
              <w:pStyle w:val="TableContents"/>
              <w:bidi w:val="0"/>
              <w:spacing w:before="0" w:after="283"/>
              <w:jc w:val="start"/>
              <w:rPr/>
            </w:pPr>
            <w:r>
              <w:rPr/>
              <w:t xml:space="preserve">0 </w:t>
            </w:r>
          </w:p>
        </w:tc>
        <w:tc>
          <w:tcPr>
            <w:tcW w:w="916" w:type="dxa"/>
            <w:tcBorders/>
          </w:tcPr>
          <w:p>
            <w:pPr>
              <w:pStyle w:val="TableContents"/>
              <w:bidi w:val="0"/>
              <w:spacing w:before="0" w:after="283"/>
              <w:jc w:val="start"/>
              <w:rPr>
                <w:sz w:val="4"/>
                <w:szCs w:val="4"/>
              </w:rPr>
            </w:pPr>
            <w:r>
              <w:rPr>
                <w:sz w:val="4"/>
                <w:szCs w:val="4"/>
              </w:rPr>
            </w:r>
          </w:p>
        </w:tc>
      </w:tr>
      <w:tr>
        <w:trPr/>
        <w:tc>
          <w:tcPr>
            <w:tcW w:w="2461" w:type="dxa"/>
            <w:tcBorders/>
            <w:vAlign w:val="center"/>
          </w:tcPr>
          <w:p>
            <w:pPr>
              <w:pStyle w:val="TableContents"/>
              <w:bidi w:val="0"/>
              <w:spacing w:before="0" w:after="283"/>
              <w:jc w:val="start"/>
              <w:rPr/>
            </w:pPr>
            <w:r>
              <w:rPr/>
              <w:t xml:space="preserve">Micro invasion </w:t>
            </w:r>
          </w:p>
        </w:tc>
        <w:tc>
          <w:tcPr>
            <w:tcW w:w="2596" w:type="dxa"/>
            <w:tcBorders/>
            <w:vAlign w:val="center"/>
          </w:tcPr>
          <w:p>
            <w:pPr>
              <w:pStyle w:val="TableContents"/>
              <w:bidi w:val="0"/>
              <w:spacing w:before="0" w:after="283"/>
              <w:jc w:val="start"/>
              <w:rPr/>
            </w:pPr>
            <w:r>
              <w:rPr/>
              <w:t xml:space="preserve">5 </w:t>
            </w:r>
          </w:p>
        </w:tc>
        <w:tc>
          <w:tcPr>
            <w:tcW w:w="2551" w:type="dxa"/>
            <w:tcBorders/>
            <w:vAlign w:val="center"/>
          </w:tcPr>
          <w:p>
            <w:pPr>
              <w:pStyle w:val="TableContents"/>
              <w:bidi w:val="0"/>
              <w:spacing w:before="0" w:after="283"/>
              <w:jc w:val="start"/>
              <w:rPr/>
            </w:pPr>
            <w:r>
              <w:rPr/>
              <w:t xml:space="preserve">6 </w:t>
            </w:r>
          </w:p>
        </w:tc>
        <w:tc>
          <w:tcPr>
            <w:tcW w:w="916" w:type="dxa"/>
            <w:tcBorders/>
          </w:tcPr>
          <w:p>
            <w:pPr>
              <w:pStyle w:val="TableContents"/>
              <w:bidi w:val="0"/>
              <w:spacing w:before="0" w:after="283"/>
              <w:jc w:val="start"/>
              <w:rPr>
                <w:sz w:val="4"/>
                <w:szCs w:val="4"/>
              </w:rPr>
            </w:pPr>
            <w:r>
              <w:rPr>
                <w:sz w:val="4"/>
                <w:szCs w:val="4"/>
              </w:rPr>
            </w:r>
          </w:p>
        </w:tc>
      </w:tr>
      <w:tr>
        <w:trPr/>
        <w:tc>
          <w:tcPr>
            <w:tcW w:w="2461" w:type="dxa"/>
            <w:tcBorders/>
            <w:vAlign w:val="center"/>
          </w:tcPr>
          <w:p>
            <w:pPr>
              <w:pStyle w:val="TableContents"/>
              <w:bidi w:val="0"/>
              <w:spacing w:before="0" w:after="283"/>
              <w:jc w:val="start"/>
              <w:rPr/>
            </w:pPr>
            <w:r>
              <w:rPr/>
              <w:t xml:space="preserve">Invasion </w:t>
            </w:r>
          </w:p>
        </w:tc>
        <w:tc>
          <w:tcPr>
            <w:tcW w:w="2596" w:type="dxa"/>
            <w:tcBorders/>
            <w:vAlign w:val="center"/>
          </w:tcPr>
          <w:p>
            <w:pPr>
              <w:pStyle w:val="TableContents"/>
              <w:bidi w:val="0"/>
              <w:spacing w:before="0" w:after="283"/>
              <w:jc w:val="start"/>
              <w:rPr/>
            </w:pPr>
            <w:r>
              <w:rPr/>
              <w:t xml:space="preserve">23 </w:t>
            </w:r>
          </w:p>
        </w:tc>
        <w:tc>
          <w:tcPr>
            <w:tcW w:w="2551" w:type="dxa"/>
            <w:tcBorders/>
            <w:vAlign w:val="center"/>
          </w:tcPr>
          <w:p>
            <w:pPr>
              <w:pStyle w:val="TableContents"/>
              <w:bidi w:val="0"/>
              <w:spacing w:before="0" w:after="283"/>
              <w:jc w:val="start"/>
              <w:rPr/>
            </w:pPr>
            <w:r>
              <w:rPr/>
              <w:t xml:space="preserve">24 </w:t>
            </w:r>
          </w:p>
        </w:tc>
        <w:tc>
          <w:tcPr>
            <w:tcW w:w="916" w:type="dxa"/>
            <w:tcBorders/>
          </w:tcPr>
          <w:p>
            <w:pPr>
              <w:pStyle w:val="TableContents"/>
              <w:bidi w:val="0"/>
              <w:spacing w:before="0" w:after="283"/>
              <w:jc w:val="start"/>
              <w:rPr>
                <w:sz w:val="4"/>
                <w:szCs w:val="4"/>
              </w:rPr>
            </w:pPr>
            <w:r>
              <w:rPr>
                <w:sz w:val="4"/>
                <w:szCs w:val="4"/>
              </w:rPr>
            </w:r>
          </w:p>
        </w:tc>
      </w:tr>
      <w:tr>
        <w:trPr/>
        <w:tc>
          <w:tcPr>
            <w:tcW w:w="2461" w:type="dxa"/>
            <w:tcBorders/>
            <w:vAlign w:val="center"/>
          </w:tcPr>
          <w:p>
            <w:pPr>
              <w:pStyle w:val="TableContents"/>
              <w:bidi w:val="0"/>
              <w:spacing w:before="0" w:after="283"/>
              <w:jc w:val="start"/>
              <w:rPr/>
            </w:pPr>
            <w:r>
              <w:rPr/>
              <w:t xml:space="preserve">Visceral pleura invasion </w:t>
            </w:r>
          </w:p>
        </w:tc>
        <w:tc>
          <w:tcPr>
            <w:tcW w:w="2596" w:type="dxa"/>
            <w:tcBorders/>
            <w:vAlign w:val="center"/>
          </w:tcPr>
          <w:p>
            <w:pPr>
              <w:pStyle w:val="TableContents"/>
              <w:bidi w:val="0"/>
              <w:spacing w:before="0" w:after="283"/>
              <w:jc w:val="start"/>
              <w:rPr>
                <w:sz w:val="4"/>
                <w:szCs w:val="4"/>
              </w:rPr>
            </w:pPr>
            <w:r>
              <w:rPr>
                <w:sz w:val="4"/>
                <w:szCs w:val="4"/>
              </w:rPr>
            </w:r>
          </w:p>
        </w:tc>
        <w:tc>
          <w:tcPr>
            <w:tcW w:w="2551" w:type="dxa"/>
            <w:tcBorders/>
            <w:vAlign w:val="center"/>
          </w:tcPr>
          <w:p>
            <w:pPr>
              <w:pStyle w:val="TableContents"/>
              <w:bidi w:val="0"/>
              <w:spacing w:before="0" w:after="283"/>
              <w:jc w:val="start"/>
              <w:rPr>
                <w:sz w:val="4"/>
                <w:szCs w:val="4"/>
              </w:rPr>
            </w:pPr>
            <w:r>
              <w:rPr>
                <w:sz w:val="4"/>
                <w:szCs w:val="4"/>
              </w:rPr>
            </w:r>
          </w:p>
        </w:tc>
        <w:tc>
          <w:tcPr>
            <w:tcW w:w="916" w:type="dxa"/>
            <w:tcBorders/>
            <w:vAlign w:val="center"/>
          </w:tcPr>
          <w:p>
            <w:pPr>
              <w:pStyle w:val="TableContents"/>
              <w:bidi w:val="0"/>
              <w:spacing w:before="0" w:after="283"/>
              <w:jc w:val="start"/>
              <w:rPr/>
            </w:pPr>
            <w:r>
              <w:rPr/>
              <w:t xml:space="preserve">0. 799 </w:t>
            </w:r>
          </w:p>
        </w:tc>
      </w:tr>
      <w:tr>
        <w:trPr/>
        <w:tc>
          <w:tcPr>
            <w:tcW w:w="2461" w:type="dxa"/>
            <w:tcBorders/>
            <w:vAlign w:val="center"/>
          </w:tcPr>
          <w:p>
            <w:pPr>
              <w:pStyle w:val="TableContents"/>
              <w:bidi w:val="0"/>
              <w:spacing w:before="0" w:after="283"/>
              <w:jc w:val="start"/>
              <w:rPr/>
            </w:pPr>
            <w:r>
              <w:rPr/>
              <w:t xml:space="preserve">No </w:t>
            </w:r>
          </w:p>
        </w:tc>
        <w:tc>
          <w:tcPr>
            <w:tcW w:w="2596" w:type="dxa"/>
            <w:tcBorders/>
            <w:vAlign w:val="center"/>
          </w:tcPr>
          <w:p>
            <w:pPr>
              <w:pStyle w:val="TableContents"/>
              <w:bidi w:val="0"/>
              <w:spacing w:before="0" w:after="283"/>
              <w:jc w:val="start"/>
              <w:rPr/>
            </w:pPr>
            <w:r>
              <w:rPr/>
              <w:t xml:space="preserve">22 </w:t>
            </w:r>
          </w:p>
        </w:tc>
        <w:tc>
          <w:tcPr>
            <w:tcW w:w="2551" w:type="dxa"/>
            <w:tcBorders/>
            <w:vAlign w:val="center"/>
          </w:tcPr>
          <w:p>
            <w:pPr>
              <w:pStyle w:val="TableContents"/>
              <w:bidi w:val="0"/>
              <w:spacing w:before="0" w:after="283"/>
              <w:jc w:val="start"/>
              <w:rPr/>
            </w:pPr>
            <w:r>
              <w:rPr/>
              <w:t xml:space="preserve">21 </w:t>
            </w:r>
          </w:p>
        </w:tc>
        <w:tc>
          <w:tcPr>
            <w:tcW w:w="916" w:type="dxa"/>
            <w:tcBorders/>
          </w:tcPr>
          <w:p>
            <w:pPr>
              <w:pStyle w:val="TableContents"/>
              <w:bidi w:val="0"/>
              <w:spacing w:before="0" w:after="283"/>
              <w:jc w:val="start"/>
              <w:rPr>
                <w:sz w:val="4"/>
                <w:szCs w:val="4"/>
              </w:rPr>
            </w:pPr>
            <w:r>
              <w:rPr>
                <w:sz w:val="4"/>
                <w:szCs w:val="4"/>
              </w:rPr>
            </w:r>
          </w:p>
        </w:tc>
      </w:tr>
      <w:tr>
        <w:trPr/>
        <w:tc>
          <w:tcPr>
            <w:tcW w:w="2461" w:type="dxa"/>
            <w:tcBorders/>
            <w:vAlign w:val="center"/>
          </w:tcPr>
          <w:p>
            <w:pPr>
              <w:pStyle w:val="TableContents"/>
              <w:bidi w:val="0"/>
              <w:spacing w:before="0" w:after="283"/>
              <w:jc w:val="start"/>
              <w:rPr/>
            </w:pPr>
            <w:r>
              <w:rPr/>
              <w:t xml:space="preserve">Yes </w:t>
            </w:r>
          </w:p>
        </w:tc>
        <w:tc>
          <w:tcPr>
            <w:tcW w:w="2596" w:type="dxa"/>
            <w:tcBorders/>
            <w:vAlign w:val="center"/>
          </w:tcPr>
          <w:p>
            <w:pPr>
              <w:pStyle w:val="TableContents"/>
              <w:bidi w:val="0"/>
              <w:spacing w:before="0" w:after="283"/>
              <w:jc w:val="start"/>
              <w:rPr/>
            </w:pPr>
            <w:r>
              <w:rPr/>
              <w:t xml:space="preserve">8 </w:t>
            </w:r>
          </w:p>
        </w:tc>
        <w:tc>
          <w:tcPr>
            <w:tcW w:w="2551" w:type="dxa"/>
            <w:tcBorders/>
            <w:vAlign w:val="center"/>
          </w:tcPr>
          <w:p>
            <w:pPr>
              <w:pStyle w:val="TableContents"/>
              <w:bidi w:val="0"/>
              <w:spacing w:before="0" w:after="283"/>
              <w:jc w:val="start"/>
              <w:rPr/>
            </w:pPr>
            <w:r>
              <w:rPr/>
              <w:t xml:space="preserve">9 </w:t>
            </w:r>
          </w:p>
        </w:tc>
        <w:tc>
          <w:tcPr>
            <w:tcW w:w="916" w:type="dxa"/>
            <w:tcBorders/>
          </w:tcPr>
          <w:p>
            <w:pPr>
              <w:pStyle w:val="TableContents"/>
              <w:bidi w:val="0"/>
              <w:spacing w:before="0" w:after="283"/>
              <w:jc w:val="start"/>
              <w:rPr>
                <w:sz w:val="4"/>
                <w:szCs w:val="4"/>
              </w:rPr>
            </w:pPr>
            <w:r>
              <w:rPr>
                <w:sz w:val="4"/>
                <w:szCs w:val="4"/>
              </w:rPr>
            </w:r>
          </w:p>
        </w:tc>
      </w:tr>
      <w:tr>
        <w:trPr/>
        <w:tc>
          <w:tcPr>
            <w:tcW w:w="2461" w:type="dxa"/>
            <w:tcBorders/>
            <w:vAlign w:val="center"/>
          </w:tcPr>
          <w:p>
            <w:pPr>
              <w:pStyle w:val="TableContents"/>
              <w:bidi w:val="0"/>
              <w:spacing w:before="0" w:after="283"/>
              <w:jc w:val="start"/>
              <w:rPr/>
            </w:pPr>
            <w:r>
              <w:rPr/>
              <w:t xml:space="preserve">TNM classification </w:t>
            </w:r>
          </w:p>
        </w:tc>
        <w:tc>
          <w:tcPr>
            <w:tcW w:w="2596" w:type="dxa"/>
            <w:tcBorders/>
            <w:vAlign w:val="center"/>
          </w:tcPr>
          <w:p>
            <w:pPr>
              <w:pStyle w:val="TableContents"/>
              <w:bidi w:val="0"/>
              <w:spacing w:before="0" w:after="283"/>
              <w:jc w:val="start"/>
              <w:rPr>
                <w:sz w:val="4"/>
                <w:szCs w:val="4"/>
              </w:rPr>
            </w:pPr>
            <w:r>
              <w:rPr>
                <w:sz w:val="4"/>
                <w:szCs w:val="4"/>
              </w:rPr>
            </w:r>
          </w:p>
        </w:tc>
        <w:tc>
          <w:tcPr>
            <w:tcW w:w="2551" w:type="dxa"/>
            <w:tcBorders/>
            <w:vAlign w:val="center"/>
          </w:tcPr>
          <w:p>
            <w:pPr>
              <w:pStyle w:val="TableContents"/>
              <w:bidi w:val="0"/>
              <w:spacing w:before="0" w:after="283"/>
              <w:jc w:val="start"/>
              <w:rPr>
                <w:sz w:val="4"/>
                <w:szCs w:val="4"/>
              </w:rPr>
            </w:pPr>
            <w:r>
              <w:rPr>
                <w:sz w:val="4"/>
                <w:szCs w:val="4"/>
              </w:rPr>
            </w:r>
          </w:p>
        </w:tc>
        <w:tc>
          <w:tcPr>
            <w:tcW w:w="916" w:type="dxa"/>
            <w:tcBorders/>
            <w:vAlign w:val="center"/>
          </w:tcPr>
          <w:p>
            <w:pPr>
              <w:pStyle w:val="TableContents"/>
              <w:bidi w:val="0"/>
              <w:spacing w:before="0" w:after="283"/>
              <w:jc w:val="start"/>
              <w:rPr/>
            </w:pPr>
            <w:r>
              <w:rPr/>
              <w:t xml:space="preserve">0. 989 </w:t>
            </w:r>
          </w:p>
        </w:tc>
      </w:tr>
      <w:tr>
        <w:trPr/>
        <w:tc>
          <w:tcPr>
            <w:tcW w:w="2461" w:type="dxa"/>
            <w:tcBorders/>
            <w:vAlign w:val="center"/>
          </w:tcPr>
          <w:p>
            <w:pPr>
              <w:pStyle w:val="TableContents"/>
              <w:bidi w:val="0"/>
              <w:spacing w:before="0" w:after="283"/>
              <w:jc w:val="start"/>
              <w:rPr/>
            </w:pPr>
            <w:r>
              <w:rPr/>
              <w:t xml:space="preserve">Stage 0 </w:t>
            </w:r>
          </w:p>
        </w:tc>
        <w:tc>
          <w:tcPr>
            <w:tcW w:w="2596" w:type="dxa"/>
            <w:tcBorders/>
            <w:vAlign w:val="center"/>
          </w:tcPr>
          <w:p>
            <w:pPr>
              <w:pStyle w:val="TableContents"/>
              <w:bidi w:val="0"/>
              <w:spacing w:before="0" w:after="283"/>
              <w:jc w:val="start"/>
              <w:rPr/>
            </w:pPr>
            <w:r>
              <w:rPr/>
              <w:t xml:space="preserve">1 </w:t>
            </w:r>
          </w:p>
        </w:tc>
        <w:tc>
          <w:tcPr>
            <w:tcW w:w="2551" w:type="dxa"/>
            <w:tcBorders/>
            <w:vAlign w:val="center"/>
          </w:tcPr>
          <w:p>
            <w:pPr>
              <w:pStyle w:val="TableContents"/>
              <w:bidi w:val="0"/>
              <w:spacing w:before="0" w:after="283"/>
              <w:jc w:val="start"/>
              <w:rPr/>
            </w:pPr>
            <w:r>
              <w:rPr/>
              <w:t xml:space="preserve">1 </w:t>
            </w:r>
          </w:p>
        </w:tc>
        <w:tc>
          <w:tcPr>
            <w:tcW w:w="916" w:type="dxa"/>
            <w:tcBorders/>
          </w:tcPr>
          <w:p>
            <w:pPr>
              <w:pStyle w:val="TableContents"/>
              <w:bidi w:val="0"/>
              <w:spacing w:before="0" w:after="283"/>
              <w:jc w:val="start"/>
              <w:rPr>
                <w:sz w:val="4"/>
                <w:szCs w:val="4"/>
              </w:rPr>
            </w:pPr>
            <w:r>
              <w:rPr>
                <w:sz w:val="4"/>
                <w:szCs w:val="4"/>
              </w:rPr>
            </w:r>
          </w:p>
        </w:tc>
      </w:tr>
      <w:tr>
        <w:trPr/>
        <w:tc>
          <w:tcPr>
            <w:tcW w:w="2461" w:type="dxa"/>
            <w:tcBorders/>
            <w:vAlign w:val="center"/>
          </w:tcPr>
          <w:p>
            <w:pPr>
              <w:pStyle w:val="TableContents"/>
              <w:bidi w:val="0"/>
              <w:spacing w:before="0" w:after="283"/>
              <w:jc w:val="start"/>
              <w:rPr/>
            </w:pPr>
            <w:r>
              <w:rPr/>
              <w:t xml:space="preserve">Stage Ia </w:t>
            </w:r>
          </w:p>
        </w:tc>
        <w:tc>
          <w:tcPr>
            <w:tcW w:w="2596" w:type="dxa"/>
            <w:tcBorders/>
            <w:vAlign w:val="center"/>
          </w:tcPr>
          <w:p>
            <w:pPr>
              <w:pStyle w:val="TableContents"/>
              <w:bidi w:val="0"/>
              <w:spacing w:before="0" w:after="283"/>
              <w:jc w:val="start"/>
              <w:rPr/>
            </w:pPr>
            <w:r>
              <w:rPr/>
              <w:t xml:space="preserve">14 </w:t>
            </w:r>
          </w:p>
        </w:tc>
        <w:tc>
          <w:tcPr>
            <w:tcW w:w="2551" w:type="dxa"/>
            <w:tcBorders/>
            <w:vAlign w:val="center"/>
          </w:tcPr>
          <w:p>
            <w:pPr>
              <w:pStyle w:val="TableContents"/>
              <w:bidi w:val="0"/>
              <w:spacing w:before="0" w:after="283"/>
              <w:jc w:val="start"/>
              <w:rPr/>
            </w:pPr>
            <w:r>
              <w:rPr/>
              <w:t xml:space="preserve">10 </w:t>
            </w:r>
          </w:p>
        </w:tc>
        <w:tc>
          <w:tcPr>
            <w:tcW w:w="916" w:type="dxa"/>
            <w:tcBorders/>
          </w:tcPr>
          <w:p>
            <w:pPr>
              <w:pStyle w:val="TableContents"/>
              <w:bidi w:val="0"/>
              <w:spacing w:before="0" w:after="283"/>
              <w:jc w:val="start"/>
              <w:rPr>
                <w:sz w:val="4"/>
                <w:szCs w:val="4"/>
              </w:rPr>
            </w:pPr>
            <w:r>
              <w:rPr>
                <w:sz w:val="4"/>
                <w:szCs w:val="4"/>
              </w:rPr>
            </w:r>
          </w:p>
        </w:tc>
      </w:tr>
      <w:tr>
        <w:trPr/>
        <w:tc>
          <w:tcPr>
            <w:tcW w:w="2461" w:type="dxa"/>
            <w:tcBorders/>
            <w:vAlign w:val="center"/>
          </w:tcPr>
          <w:p>
            <w:pPr>
              <w:pStyle w:val="TableContents"/>
              <w:bidi w:val="0"/>
              <w:spacing w:before="0" w:after="283"/>
              <w:jc w:val="start"/>
              <w:rPr/>
            </w:pPr>
            <w:r>
              <w:rPr/>
              <w:t xml:space="preserve">Stage Ib </w:t>
            </w:r>
          </w:p>
        </w:tc>
        <w:tc>
          <w:tcPr>
            <w:tcW w:w="2596" w:type="dxa"/>
            <w:tcBorders/>
            <w:vAlign w:val="center"/>
          </w:tcPr>
          <w:p>
            <w:pPr>
              <w:pStyle w:val="TableContents"/>
              <w:bidi w:val="0"/>
              <w:spacing w:before="0" w:after="283"/>
              <w:jc w:val="start"/>
              <w:rPr/>
            </w:pPr>
            <w:r>
              <w:rPr/>
              <w:t xml:space="preserve">6 </w:t>
            </w:r>
          </w:p>
        </w:tc>
        <w:tc>
          <w:tcPr>
            <w:tcW w:w="2551" w:type="dxa"/>
            <w:tcBorders/>
            <w:vAlign w:val="center"/>
          </w:tcPr>
          <w:p>
            <w:pPr>
              <w:pStyle w:val="TableContents"/>
              <w:bidi w:val="0"/>
              <w:spacing w:before="0" w:after="283"/>
              <w:jc w:val="start"/>
              <w:rPr/>
            </w:pPr>
            <w:r>
              <w:rPr/>
              <w:t xml:space="preserve">10 </w:t>
            </w:r>
          </w:p>
        </w:tc>
        <w:tc>
          <w:tcPr>
            <w:tcW w:w="916" w:type="dxa"/>
            <w:tcBorders/>
          </w:tcPr>
          <w:p>
            <w:pPr>
              <w:pStyle w:val="TableContents"/>
              <w:bidi w:val="0"/>
              <w:spacing w:before="0" w:after="283"/>
              <w:jc w:val="start"/>
              <w:rPr>
                <w:sz w:val="4"/>
                <w:szCs w:val="4"/>
              </w:rPr>
            </w:pPr>
            <w:r>
              <w:rPr>
                <w:sz w:val="4"/>
                <w:szCs w:val="4"/>
              </w:rPr>
            </w:r>
          </w:p>
        </w:tc>
      </w:tr>
      <w:tr>
        <w:trPr/>
        <w:tc>
          <w:tcPr>
            <w:tcW w:w="2461" w:type="dxa"/>
            <w:tcBorders/>
            <w:vAlign w:val="center"/>
          </w:tcPr>
          <w:p>
            <w:pPr>
              <w:pStyle w:val="TableContents"/>
              <w:bidi w:val="0"/>
              <w:spacing w:before="0" w:after="283"/>
              <w:jc w:val="start"/>
              <w:rPr/>
            </w:pPr>
            <w:r>
              <w:rPr/>
              <w:t xml:space="preserve">Stage IIa </w:t>
            </w:r>
          </w:p>
        </w:tc>
        <w:tc>
          <w:tcPr>
            <w:tcW w:w="2596" w:type="dxa"/>
            <w:tcBorders/>
            <w:vAlign w:val="center"/>
          </w:tcPr>
          <w:p>
            <w:pPr>
              <w:pStyle w:val="TableContents"/>
              <w:bidi w:val="0"/>
              <w:spacing w:before="0" w:after="283"/>
              <w:jc w:val="start"/>
              <w:rPr/>
            </w:pPr>
            <w:r>
              <w:rPr/>
              <w:t xml:space="preserve">2 </w:t>
            </w:r>
          </w:p>
        </w:tc>
        <w:tc>
          <w:tcPr>
            <w:tcW w:w="2551" w:type="dxa"/>
            <w:tcBorders/>
            <w:vAlign w:val="center"/>
          </w:tcPr>
          <w:p>
            <w:pPr>
              <w:pStyle w:val="TableContents"/>
              <w:bidi w:val="0"/>
              <w:spacing w:before="0" w:after="283"/>
              <w:jc w:val="start"/>
              <w:rPr/>
            </w:pPr>
            <w:r>
              <w:rPr/>
              <w:t xml:space="preserve">3 </w:t>
            </w:r>
          </w:p>
        </w:tc>
        <w:tc>
          <w:tcPr>
            <w:tcW w:w="916" w:type="dxa"/>
            <w:tcBorders/>
          </w:tcPr>
          <w:p>
            <w:pPr>
              <w:pStyle w:val="TableContents"/>
              <w:bidi w:val="0"/>
              <w:spacing w:before="0" w:after="283"/>
              <w:jc w:val="start"/>
              <w:rPr>
                <w:sz w:val="4"/>
                <w:szCs w:val="4"/>
              </w:rPr>
            </w:pPr>
            <w:r>
              <w:rPr>
                <w:sz w:val="4"/>
                <w:szCs w:val="4"/>
              </w:rPr>
            </w:r>
          </w:p>
        </w:tc>
      </w:tr>
      <w:tr>
        <w:trPr/>
        <w:tc>
          <w:tcPr>
            <w:tcW w:w="2461" w:type="dxa"/>
            <w:tcBorders/>
            <w:vAlign w:val="center"/>
          </w:tcPr>
          <w:p>
            <w:pPr>
              <w:pStyle w:val="TableContents"/>
              <w:bidi w:val="0"/>
              <w:spacing w:before="0" w:after="283"/>
              <w:jc w:val="start"/>
              <w:rPr/>
            </w:pPr>
            <w:r>
              <w:rPr/>
              <w:t xml:space="preserve">Stage IIb </w:t>
            </w:r>
          </w:p>
        </w:tc>
        <w:tc>
          <w:tcPr>
            <w:tcW w:w="2596" w:type="dxa"/>
            <w:tcBorders/>
            <w:vAlign w:val="center"/>
          </w:tcPr>
          <w:p>
            <w:pPr>
              <w:pStyle w:val="TableContents"/>
              <w:bidi w:val="0"/>
              <w:spacing w:before="0" w:after="283"/>
              <w:jc w:val="start"/>
              <w:rPr/>
            </w:pPr>
            <w:r>
              <w:rPr/>
              <w:t xml:space="preserve">3 </w:t>
            </w:r>
          </w:p>
        </w:tc>
        <w:tc>
          <w:tcPr>
            <w:tcW w:w="2551" w:type="dxa"/>
            <w:tcBorders/>
            <w:vAlign w:val="center"/>
          </w:tcPr>
          <w:p>
            <w:pPr>
              <w:pStyle w:val="TableContents"/>
              <w:bidi w:val="0"/>
              <w:spacing w:before="0" w:after="283"/>
              <w:jc w:val="start"/>
              <w:rPr/>
            </w:pPr>
            <w:r>
              <w:rPr/>
              <w:t xml:space="preserve">2 </w:t>
            </w:r>
          </w:p>
        </w:tc>
        <w:tc>
          <w:tcPr>
            <w:tcW w:w="916" w:type="dxa"/>
            <w:tcBorders/>
          </w:tcPr>
          <w:p>
            <w:pPr>
              <w:pStyle w:val="TableContents"/>
              <w:bidi w:val="0"/>
              <w:spacing w:before="0" w:after="283"/>
              <w:jc w:val="start"/>
              <w:rPr>
                <w:sz w:val="4"/>
                <w:szCs w:val="4"/>
              </w:rPr>
            </w:pPr>
            <w:r>
              <w:rPr>
                <w:sz w:val="4"/>
                <w:szCs w:val="4"/>
              </w:rPr>
            </w:r>
          </w:p>
        </w:tc>
      </w:tr>
      <w:tr>
        <w:trPr/>
        <w:tc>
          <w:tcPr>
            <w:tcW w:w="2461" w:type="dxa"/>
            <w:tcBorders/>
            <w:vAlign w:val="center"/>
          </w:tcPr>
          <w:p>
            <w:pPr>
              <w:pStyle w:val="TableContents"/>
              <w:bidi w:val="0"/>
              <w:spacing w:before="0" w:after="283"/>
              <w:jc w:val="start"/>
              <w:rPr/>
            </w:pPr>
            <w:r>
              <w:rPr/>
              <w:t xml:space="preserve">Stage IIIa </w:t>
            </w:r>
          </w:p>
        </w:tc>
        <w:tc>
          <w:tcPr>
            <w:tcW w:w="2596" w:type="dxa"/>
            <w:tcBorders/>
            <w:vAlign w:val="center"/>
          </w:tcPr>
          <w:p>
            <w:pPr>
              <w:pStyle w:val="TableContents"/>
              <w:bidi w:val="0"/>
              <w:spacing w:before="0" w:after="283"/>
              <w:jc w:val="start"/>
              <w:rPr/>
            </w:pPr>
            <w:r>
              <w:rPr/>
              <w:t xml:space="preserve">4 </w:t>
            </w:r>
          </w:p>
        </w:tc>
        <w:tc>
          <w:tcPr>
            <w:tcW w:w="2551" w:type="dxa"/>
            <w:tcBorders/>
            <w:vAlign w:val="center"/>
          </w:tcPr>
          <w:p>
            <w:pPr>
              <w:pStyle w:val="TableContents"/>
              <w:bidi w:val="0"/>
              <w:spacing w:before="0" w:after="283"/>
              <w:jc w:val="start"/>
              <w:rPr/>
            </w:pPr>
            <w:r>
              <w:rPr/>
              <w:t xml:space="preserve">4 </w:t>
            </w:r>
          </w:p>
        </w:tc>
        <w:tc>
          <w:tcPr>
            <w:tcW w:w="916"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*age: extreme value (median). </w:t>
      </w:r>
    </w:p>
    <w:p>
      <w:pPr>
        <w:pStyle w:val="TextBody"/>
        <w:bidi w:val="0"/>
        <w:spacing w:before="0" w:after="283"/>
        <w:jc w:val="start"/>
        <w:rPr/>
      </w:pPr>
      <w:r>
        <w:rPr/>
        <w:t xml:space="preserve">Table 2. Comparisons of lymph node harvest between single-port and three-port group. </w:t>
      </w:r>
    </w:p>
    <w:tbl>
      <w:tblPr>
        <w:tblW w:w="10504" w:type="dxa"/>
        <w:jc w:val="start"/>
        <w:tblInd w:w="0" w:type="dxa"/>
        <w:tblLayout w:type="fixed"/>
        <w:tblCellMar>
          <w:top w:w="28" w:type="dxa"/>
          <w:start w:w="28" w:type="dxa"/>
          <w:bottom w:w="28" w:type="dxa"/>
          <w:end w:w="28" w:type="dxa"/>
        </w:tblCellMar>
      </w:tblPr>
      <w:tblGrid>
        <w:gridCol w:w="4441"/>
        <w:gridCol w:w="2596"/>
        <w:gridCol w:w="2551"/>
        <w:gridCol w:w="916"/>
      </w:tblGrid>
      <w:tr>
        <w:trPr/>
        <w:tc>
          <w:tcPr>
            <w:tcW w:w="4441" w:type="dxa"/>
            <w:tcBorders/>
            <w:vAlign w:val="center"/>
          </w:tcPr>
          <w:p>
            <w:pPr>
              <w:pStyle w:val="TableContents"/>
              <w:bidi w:val="0"/>
              <w:spacing w:before="0" w:after="283"/>
              <w:jc w:val="start"/>
              <w:rPr>
                <w:sz w:val="4"/>
                <w:szCs w:val="4"/>
              </w:rPr>
            </w:pPr>
            <w:r>
              <w:rPr>
                <w:sz w:val="4"/>
                <w:szCs w:val="4"/>
              </w:rPr>
            </w:r>
          </w:p>
        </w:tc>
        <w:tc>
          <w:tcPr>
            <w:tcW w:w="2596" w:type="dxa"/>
            <w:tcBorders/>
            <w:vAlign w:val="center"/>
          </w:tcPr>
          <w:p>
            <w:pPr>
              <w:pStyle w:val="TableContents"/>
              <w:bidi w:val="0"/>
              <w:spacing w:before="0" w:after="283"/>
              <w:jc w:val="start"/>
              <w:rPr/>
            </w:pPr>
            <w:r>
              <w:rPr/>
              <w:t xml:space="preserve">Single-port group (n= 30) </w:t>
            </w:r>
          </w:p>
        </w:tc>
        <w:tc>
          <w:tcPr>
            <w:tcW w:w="2551" w:type="dxa"/>
            <w:tcBorders/>
            <w:vAlign w:val="center"/>
          </w:tcPr>
          <w:p>
            <w:pPr>
              <w:pStyle w:val="TableContents"/>
              <w:bidi w:val="0"/>
              <w:spacing w:before="0" w:after="283"/>
              <w:jc w:val="start"/>
              <w:rPr/>
            </w:pPr>
            <w:r>
              <w:rPr/>
              <w:t xml:space="preserve">Three-port group (n= 30) </w:t>
            </w:r>
          </w:p>
        </w:tc>
        <w:tc>
          <w:tcPr>
            <w:tcW w:w="916" w:type="dxa"/>
            <w:tcBorders/>
            <w:vAlign w:val="center"/>
          </w:tcPr>
          <w:p>
            <w:pPr>
              <w:pStyle w:val="TableContents"/>
              <w:bidi w:val="0"/>
              <w:spacing w:before="0" w:after="283"/>
              <w:jc w:val="start"/>
              <w:rPr/>
            </w:pPr>
            <w:r>
              <w:rPr/>
              <w:t xml:space="preserve">P value </w:t>
            </w:r>
          </w:p>
        </w:tc>
      </w:tr>
      <w:tr>
        <w:trPr/>
        <w:tc>
          <w:tcPr>
            <w:tcW w:w="4441" w:type="dxa"/>
            <w:tcBorders/>
            <w:vAlign w:val="center"/>
          </w:tcPr>
          <w:p>
            <w:pPr>
              <w:pStyle w:val="TableContents"/>
              <w:bidi w:val="0"/>
              <w:spacing w:before="0" w:after="283"/>
              <w:jc w:val="start"/>
              <w:rPr/>
            </w:pPr>
            <w:r>
              <w:rPr/>
              <w:t xml:space="preserve">Total lymph node harvest </w:t>
            </w:r>
          </w:p>
        </w:tc>
        <w:tc>
          <w:tcPr>
            <w:tcW w:w="2596" w:type="dxa"/>
            <w:tcBorders/>
            <w:vAlign w:val="center"/>
          </w:tcPr>
          <w:p>
            <w:pPr>
              <w:pStyle w:val="TableContents"/>
              <w:bidi w:val="0"/>
              <w:spacing w:before="0" w:after="283"/>
              <w:jc w:val="start"/>
              <w:rPr/>
            </w:pPr>
            <w:r>
              <w:rPr/>
              <w:t xml:space="preserve">23. 6±11. 2 </w:t>
            </w:r>
          </w:p>
        </w:tc>
        <w:tc>
          <w:tcPr>
            <w:tcW w:w="2551" w:type="dxa"/>
            <w:tcBorders/>
            <w:vAlign w:val="center"/>
          </w:tcPr>
          <w:p>
            <w:pPr>
              <w:pStyle w:val="TableContents"/>
              <w:bidi w:val="0"/>
              <w:spacing w:before="0" w:after="283"/>
              <w:jc w:val="start"/>
              <w:rPr/>
            </w:pPr>
            <w:r>
              <w:rPr/>
              <w:t xml:space="preserve">25. 4±7. 3 </w:t>
            </w:r>
          </w:p>
        </w:tc>
        <w:tc>
          <w:tcPr>
            <w:tcW w:w="916" w:type="dxa"/>
            <w:tcBorders/>
            <w:vAlign w:val="center"/>
          </w:tcPr>
          <w:p>
            <w:pPr>
              <w:pStyle w:val="TableContents"/>
              <w:bidi w:val="0"/>
              <w:spacing w:before="0" w:after="283"/>
              <w:jc w:val="start"/>
              <w:rPr/>
            </w:pPr>
            <w:r>
              <w:rPr/>
              <w:t xml:space="preserve">0. 737 </w:t>
            </w:r>
          </w:p>
        </w:tc>
      </w:tr>
      <w:tr>
        <w:trPr/>
        <w:tc>
          <w:tcPr>
            <w:tcW w:w="4441" w:type="dxa"/>
            <w:tcBorders/>
            <w:vAlign w:val="center"/>
          </w:tcPr>
          <w:p>
            <w:pPr>
              <w:pStyle w:val="TableContents"/>
              <w:bidi w:val="0"/>
              <w:spacing w:before="0" w:after="283"/>
              <w:jc w:val="start"/>
              <w:rPr/>
            </w:pPr>
            <w:r>
              <w:rPr/>
              <w:t xml:space="preserve">Positive lymph nodes </w:t>
            </w:r>
          </w:p>
        </w:tc>
        <w:tc>
          <w:tcPr>
            <w:tcW w:w="2596" w:type="dxa"/>
            <w:tcBorders/>
            <w:vAlign w:val="center"/>
          </w:tcPr>
          <w:p>
            <w:pPr>
              <w:pStyle w:val="TableContents"/>
              <w:bidi w:val="0"/>
              <w:spacing w:before="0" w:after="283"/>
              <w:jc w:val="start"/>
              <w:rPr/>
            </w:pPr>
            <w:r>
              <w:rPr/>
              <w:t xml:space="preserve">1. 5±3. 1 </w:t>
            </w:r>
          </w:p>
        </w:tc>
        <w:tc>
          <w:tcPr>
            <w:tcW w:w="2551" w:type="dxa"/>
            <w:tcBorders/>
            <w:vAlign w:val="center"/>
          </w:tcPr>
          <w:p>
            <w:pPr>
              <w:pStyle w:val="TableContents"/>
              <w:bidi w:val="0"/>
              <w:spacing w:before="0" w:after="283"/>
              <w:jc w:val="start"/>
              <w:rPr/>
            </w:pPr>
            <w:r>
              <w:rPr/>
              <w:t xml:space="preserve">1. 9±4. 9 </w:t>
            </w:r>
          </w:p>
        </w:tc>
        <w:tc>
          <w:tcPr>
            <w:tcW w:w="916" w:type="dxa"/>
            <w:tcBorders/>
            <w:vAlign w:val="center"/>
          </w:tcPr>
          <w:p>
            <w:pPr>
              <w:pStyle w:val="TableContents"/>
              <w:bidi w:val="0"/>
              <w:spacing w:before="0" w:after="283"/>
              <w:jc w:val="start"/>
              <w:rPr/>
            </w:pPr>
            <w:r>
              <w:rPr/>
              <w:t xml:space="preserve">0. 971 </w:t>
            </w:r>
          </w:p>
        </w:tc>
      </w:tr>
      <w:tr>
        <w:trPr/>
        <w:tc>
          <w:tcPr>
            <w:tcW w:w="4441" w:type="dxa"/>
            <w:tcBorders/>
            <w:vAlign w:val="center"/>
          </w:tcPr>
          <w:p>
            <w:pPr>
              <w:pStyle w:val="TableContents"/>
              <w:bidi w:val="0"/>
              <w:spacing w:before="0" w:after="283"/>
              <w:jc w:val="start"/>
              <w:rPr/>
            </w:pPr>
            <w:r>
              <w:rPr/>
              <w:t xml:space="preserve">Total mediastinal lymph node harvest </w:t>
            </w:r>
          </w:p>
        </w:tc>
        <w:tc>
          <w:tcPr>
            <w:tcW w:w="2596" w:type="dxa"/>
            <w:tcBorders/>
            <w:vAlign w:val="center"/>
          </w:tcPr>
          <w:p>
            <w:pPr>
              <w:pStyle w:val="TableContents"/>
              <w:bidi w:val="0"/>
              <w:spacing w:before="0" w:after="283"/>
              <w:jc w:val="start"/>
              <w:rPr/>
            </w:pPr>
            <w:r>
              <w:rPr/>
              <w:t xml:space="preserve">16. 2±9. 2 </w:t>
            </w:r>
          </w:p>
        </w:tc>
        <w:tc>
          <w:tcPr>
            <w:tcW w:w="2551" w:type="dxa"/>
            <w:tcBorders/>
            <w:vAlign w:val="center"/>
          </w:tcPr>
          <w:p>
            <w:pPr>
              <w:pStyle w:val="TableContents"/>
              <w:bidi w:val="0"/>
              <w:spacing w:before="0" w:after="283"/>
              <w:jc w:val="start"/>
              <w:rPr/>
            </w:pPr>
            <w:r>
              <w:rPr/>
              <w:t xml:space="preserve">17. 2±6. 5 </w:t>
            </w:r>
          </w:p>
        </w:tc>
        <w:tc>
          <w:tcPr>
            <w:tcW w:w="916" w:type="dxa"/>
            <w:tcBorders/>
            <w:vAlign w:val="center"/>
          </w:tcPr>
          <w:p>
            <w:pPr>
              <w:pStyle w:val="TableContents"/>
              <w:bidi w:val="0"/>
              <w:spacing w:before="0" w:after="283"/>
              <w:jc w:val="start"/>
              <w:rPr/>
            </w:pPr>
            <w:r>
              <w:rPr/>
              <w:t xml:space="preserve">0. 731 </w:t>
            </w:r>
          </w:p>
        </w:tc>
      </w:tr>
      <w:tr>
        <w:trPr/>
        <w:tc>
          <w:tcPr>
            <w:tcW w:w="4441" w:type="dxa"/>
            <w:tcBorders/>
            <w:vAlign w:val="center"/>
          </w:tcPr>
          <w:p>
            <w:pPr>
              <w:pStyle w:val="TableContents"/>
              <w:bidi w:val="0"/>
              <w:spacing w:before="0" w:after="283"/>
              <w:jc w:val="start"/>
              <w:rPr/>
            </w:pPr>
            <w:r>
              <w:rPr/>
              <w:t xml:space="preserve">Dissection of mediastinal lymph node groups </w:t>
            </w:r>
          </w:p>
        </w:tc>
        <w:tc>
          <w:tcPr>
            <w:tcW w:w="2596" w:type="dxa"/>
            <w:tcBorders/>
            <w:vAlign w:val="center"/>
          </w:tcPr>
          <w:p>
            <w:pPr>
              <w:pStyle w:val="TableContents"/>
              <w:bidi w:val="0"/>
              <w:spacing w:before="0" w:after="283"/>
              <w:jc w:val="start"/>
              <w:rPr/>
            </w:pPr>
            <w:r>
              <w:rPr/>
              <w:t xml:space="preserve">4. 4±1. 0 </w:t>
            </w:r>
          </w:p>
        </w:tc>
        <w:tc>
          <w:tcPr>
            <w:tcW w:w="2551" w:type="dxa"/>
            <w:tcBorders/>
            <w:vAlign w:val="center"/>
          </w:tcPr>
          <w:p>
            <w:pPr>
              <w:pStyle w:val="TableContents"/>
              <w:bidi w:val="0"/>
              <w:spacing w:before="0" w:after="283"/>
              <w:jc w:val="start"/>
              <w:rPr/>
            </w:pPr>
            <w:r>
              <w:rPr/>
              <w:t xml:space="preserve">4. 4±0. 8 </w:t>
            </w:r>
          </w:p>
        </w:tc>
        <w:tc>
          <w:tcPr>
            <w:tcW w:w="916" w:type="dxa"/>
            <w:tcBorders/>
            <w:vAlign w:val="center"/>
          </w:tcPr>
          <w:p>
            <w:pPr>
              <w:pStyle w:val="TableContents"/>
              <w:bidi w:val="0"/>
              <w:spacing w:before="0" w:after="283"/>
              <w:jc w:val="start"/>
              <w:rPr/>
            </w:pPr>
            <w:r>
              <w:rPr/>
              <w:t xml:space="preserve">0. 637 </w:t>
            </w:r>
          </w:p>
        </w:tc>
      </w:tr>
    </w:tbl>
    <w:p>
      <w:pPr>
        <w:pStyle w:val="Heading3"/>
        <w:bidi w:val="0"/>
        <w:jc w:val="start"/>
        <w:rPr/>
      </w:pPr>
      <w:r>
        <w:rPr/>
        <w:t xml:space="preserve">2. 2 Perioperative information </w:t>
      </w:r>
    </w:p>
    <w:p>
      <w:pPr>
        <w:pStyle w:val="TextBody"/>
        <w:bidi w:val="0"/>
        <w:spacing w:before="0" w:after="283"/>
        <w:jc w:val="start"/>
        <w:rPr/>
      </w:pPr>
      <w:r>
        <w:rPr/>
        <w:t xml:space="preserve">All operations were under the video-assistance of total thoracoscopic lobectomy without other assisted endoscope incision. There were no deaths during preoperative period. However, there were a total of five cases with complications, two cases (1 case of arrhythmia; 1 case of systemic infections) in single-port group (6. 7%), and another three cases (1 case of arrhythmia; 1 case of air leakage; 1 case of chylothorax) in three-port group (10. 0%). There was no significant difference in complications between the two groups (P&gt; 0. 05). Additionally, no significant differences in intraoperative blood loss, postoperative extubation time and postoperative hospital stay were observed (P&gt; 0. 05). However, operation time in single-port group (209. 0±45. 5 min) was longer than that in three-port group (154. 5±30. 9min) (P &lt; 0. 05). VAS one day after operation in single-port group (3. 6±0. 7) was lower than that in three-port group (5. 5±1. 0) (P &lt; 0. 05). The summary information was included in Table 3. </w:t>
      </w:r>
    </w:p>
    <w:p>
      <w:pPr>
        <w:pStyle w:val="TextBody"/>
        <w:bidi w:val="0"/>
        <w:spacing w:before="0" w:after="283"/>
        <w:jc w:val="start"/>
        <w:rPr/>
      </w:pPr>
      <w:r>
        <w:rPr/>
        <w:t xml:space="preserve">Table 3. Comparisons of perioperative outcomes between single-port and three-port group </w:t>
      </w:r>
    </w:p>
    <w:tbl>
      <w:tblPr>
        <w:tblW w:w="9364" w:type="dxa"/>
        <w:jc w:val="start"/>
        <w:tblInd w:w="0" w:type="dxa"/>
        <w:tblLayout w:type="fixed"/>
        <w:tblCellMar>
          <w:top w:w="28" w:type="dxa"/>
          <w:start w:w="28" w:type="dxa"/>
          <w:bottom w:w="28" w:type="dxa"/>
          <w:end w:w="28" w:type="dxa"/>
        </w:tblCellMar>
      </w:tblPr>
      <w:tblGrid>
        <w:gridCol w:w="3301"/>
        <w:gridCol w:w="2596"/>
        <w:gridCol w:w="2551"/>
        <w:gridCol w:w="916"/>
      </w:tblGrid>
      <w:tr>
        <w:trPr/>
        <w:tc>
          <w:tcPr>
            <w:tcW w:w="3301" w:type="dxa"/>
            <w:tcBorders/>
            <w:vAlign w:val="center"/>
          </w:tcPr>
          <w:p>
            <w:pPr>
              <w:pStyle w:val="TableContents"/>
              <w:bidi w:val="0"/>
              <w:spacing w:before="0" w:after="283"/>
              <w:jc w:val="start"/>
              <w:rPr>
                <w:sz w:val="4"/>
                <w:szCs w:val="4"/>
              </w:rPr>
            </w:pPr>
            <w:r>
              <w:rPr>
                <w:sz w:val="4"/>
                <w:szCs w:val="4"/>
              </w:rPr>
            </w:r>
          </w:p>
        </w:tc>
        <w:tc>
          <w:tcPr>
            <w:tcW w:w="2596" w:type="dxa"/>
            <w:tcBorders/>
            <w:vAlign w:val="center"/>
          </w:tcPr>
          <w:p>
            <w:pPr>
              <w:pStyle w:val="TableContents"/>
              <w:bidi w:val="0"/>
              <w:spacing w:before="0" w:after="283"/>
              <w:jc w:val="start"/>
              <w:rPr/>
            </w:pPr>
            <w:r>
              <w:rPr/>
              <w:t xml:space="preserve">Single-port group (n= 30) </w:t>
            </w:r>
          </w:p>
        </w:tc>
        <w:tc>
          <w:tcPr>
            <w:tcW w:w="2551" w:type="dxa"/>
            <w:tcBorders/>
            <w:vAlign w:val="center"/>
          </w:tcPr>
          <w:p>
            <w:pPr>
              <w:pStyle w:val="TableContents"/>
              <w:bidi w:val="0"/>
              <w:spacing w:before="0" w:after="283"/>
              <w:jc w:val="start"/>
              <w:rPr/>
            </w:pPr>
            <w:r>
              <w:rPr/>
              <w:t xml:space="preserve">Three-port group (n= 30) </w:t>
            </w:r>
          </w:p>
        </w:tc>
        <w:tc>
          <w:tcPr>
            <w:tcW w:w="916" w:type="dxa"/>
            <w:tcBorders/>
            <w:vAlign w:val="center"/>
          </w:tcPr>
          <w:p>
            <w:pPr>
              <w:pStyle w:val="TableContents"/>
              <w:bidi w:val="0"/>
              <w:spacing w:before="0" w:after="283"/>
              <w:jc w:val="start"/>
              <w:rPr/>
            </w:pPr>
            <w:r>
              <w:rPr/>
              <w:t xml:space="preserve">P value </w:t>
            </w:r>
          </w:p>
        </w:tc>
      </w:tr>
      <w:tr>
        <w:trPr/>
        <w:tc>
          <w:tcPr>
            <w:tcW w:w="3301" w:type="dxa"/>
            <w:tcBorders/>
            <w:vAlign w:val="center"/>
          </w:tcPr>
          <w:p>
            <w:pPr>
              <w:pStyle w:val="TableContents"/>
              <w:bidi w:val="0"/>
              <w:spacing w:before="0" w:after="283"/>
              <w:jc w:val="start"/>
              <w:rPr/>
            </w:pPr>
            <w:r>
              <w:rPr/>
              <w:t xml:space="preserve">Operation time (min) </w:t>
            </w:r>
          </w:p>
        </w:tc>
        <w:tc>
          <w:tcPr>
            <w:tcW w:w="2596" w:type="dxa"/>
            <w:tcBorders/>
            <w:vAlign w:val="center"/>
          </w:tcPr>
          <w:p>
            <w:pPr>
              <w:pStyle w:val="TableContents"/>
              <w:bidi w:val="0"/>
              <w:spacing w:before="0" w:after="283"/>
              <w:jc w:val="start"/>
              <w:rPr/>
            </w:pPr>
            <w:r>
              <w:rPr/>
              <w:t xml:space="preserve">209. 0±45. 5 </w:t>
            </w:r>
          </w:p>
        </w:tc>
        <w:tc>
          <w:tcPr>
            <w:tcW w:w="2551" w:type="dxa"/>
            <w:tcBorders/>
            <w:vAlign w:val="center"/>
          </w:tcPr>
          <w:p>
            <w:pPr>
              <w:pStyle w:val="TableContents"/>
              <w:bidi w:val="0"/>
              <w:spacing w:before="0" w:after="283"/>
              <w:jc w:val="start"/>
              <w:rPr/>
            </w:pPr>
            <w:r>
              <w:rPr/>
              <w:t xml:space="preserve">154. 5±30. 9 </w:t>
            </w:r>
          </w:p>
        </w:tc>
        <w:tc>
          <w:tcPr>
            <w:tcW w:w="916" w:type="dxa"/>
            <w:tcBorders/>
            <w:vAlign w:val="center"/>
          </w:tcPr>
          <w:p>
            <w:pPr>
              <w:pStyle w:val="TableContents"/>
              <w:bidi w:val="0"/>
              <w:spacing w:before="0" w:after="283"/>
              <w:jc w:val="start"/>
              <w:rPr/>
            </w:pPr>
            <w:r>
              <w:rPr/>
              <w:t xml:space="preserve">0. 000 </w:t>
            </w:r>
          </w:p>
        </w:tc>
      </w:tr>
      <w:tr>
        <w:trPr/>
        <w:tc>
          <w:tcPr>
            <w:tcW w:w="3301" w:type="dxa"/>
            <w:tcBorders/>
            <w:vAlign w:val="center"/>
          </w:tcPr>
          <w:p>
            <w:pPr>
              <w:pStyle w:val="TableContents"/>
              <w:bidi w:val="0"/>
              <w:spacing w:before="0" w:after="283"/>
              <w:jc w:val="start"/>
              <w:rPr/>
            </w:pPr>
            <w:r>
              <w:rPr/>
              <w:t xml:space="preserve">Intraoperative blood loss (ml) </w:t>
            </w:r>
          </w:p>
        </w:tc>
        <w:tc>
          <w:tcPr>
            <w:tcW w:w="2596" w:type="dxa"/>
            <w:tcBorders/>
            <w:vAlign w:val="center"/>
          </w:tcPr>
          <w:p>
            <w:pPr>
              <w:pStyle w:val="TableContents"/>
              <w:bidi w:val="0"/>
              <w:spacing w:before="0" w:after="283"/>
              <w:jc w:val="start"/>
              <w:rPr/>
            </w:pPr>
            <w:r>
              <w:rPr/>
              <w:t xml:space="preserve">90. 6±49. 3 </w:t>
            </w:r>
          </w:p>
        </w:tc>
        <w:tc>
          <w:tcPr>
            <w:tcW w:w="2551" w:type="dxa"/>
            <w:tcBorders/>
            <w:vAlign w:val="center"/>
          </w:tcPr>
          <w:p>
            <w:pPr>
              <w:pStyle w:val="TableContents"/>
              <w:bidi w:val="0"/>
              <w:spacing w:before="0" w:after="283"/>
              <w:jc w:val="start"/>
              <w:rPr/>
            </w:pPr>
            <w:r>
              <w:rPr/>
              <w:t xml:space="preserve">79. 5±45. 2 </w:t>
            </w:r>
          </w:p>
        </w:tc>
        <w:tc>
          <w:tcPr>
            <w:tcW w:w="916" w:type="dxa"/>
            <w:tcBorders/>
            <w:vAlign w:val="center"/>
          </w:tcPr>
          <w:p>
            <w:pPr>
              <w:pStyle w:val="TableContents"/>
              <w:bidi w:val="0"/>
              <w:spacing w:before="0" w:after="283"/>
              <w:jc w:val="start"/>
              <w:rPr/>
            </w:pPr>
            <w:r>
              <w:rPr/>
              <w:t xml:space="preserve">0. 840 </w:t>
            </w:r>
          </w:p>
        </w:tc>
      </w:tr>
      <w:tr>
        <w:trPr/>
        <w:tc>
          <w:tcPr>
            <w:tcW w:w="3301" w:type="dxa"/>
            <w:tcBorders/>
            <w:vAlign w:val="center"/>
          </w:tcPr>
          <w:p>
            <w:pPr>
              <w:pStyle w:val="TableContents"/>
              <w:bidi w:val="0"/>
              <w:spacing w:before="0" w:after="283"/>
              <w:jc w:val="start"/>
              <w:rPr/>
            </w:pPr>
            <w:r>
              <w:rPr/>
              <w:t xml:space="preserve">Postoperative extubation time (d) </w:t>
            </w:r>
          </w:p>
        </w:tc>
        <w:tc>
          <w:tcPr>
            <w:tcW w:w="2596" w:type="dxa"/>
            <w:tcBorders/>
            <w:vAlign w:val="center"/>
          </w:tcPr>
          <w:p>
            <w:pPr>
              <w:pStyle w:val="TableContents"/>
              <w:bidi w:val="0"/>
              <w:spacing w:before="0" w:after="283"/>
              <w:jc w:val="start"/>
              <w:rPr/>
            </w:pPr>
            <w:r>
              <w:rPr/>
              <w:t xml:space="preserve">4. 0±1. 5 </w:t>
            </w:r>
          </w:p>
        </w:tc>
        <w:tc>
          <w:tcPr>
            <w:tcW w:w="2551" w:type="dxa"/>
            <w:tcBorders/>
            <w:vAlign w:val="center"/>
          </w:tcPr>
          <w:p>
            <w:pPr>
              <w:pStyle w:val="TableContents"/>
              <w:bidi w:val="0"/>
              <w:spacing w:before="0" w:after="283"/>
              <w:jc w:val="start"/>
              <w:rPr/>
            </w:pPr>
            <w:r>
              <w:rPr/>
              <w:t xml:space="preserve">5. 4±3. 7 </w:t>
            </w:r>
          </w:p>
        </w:tc>
        <w:tc>
          <w:tcPr>
            <w:tcW w:w="916" w:type="dxa"/>
            <w:tcBorders/>
            <w:vAlign w:val="center"/>
          </w:tcPr>
          <w:p>
            <w:pPr>
              <w:pStyle w:val="TableContents"/>
              <w:bidi w:val="0"/>
              <w:spacing w:before="0" w:after="283"/>
              <w:jc w:val="start"/>
              <w:rPr/>
            </w:pPr>
            <w:r>
              <w:rPr/>
              <w:t xml:space="preserve">0. 256 </w:t>
            </w:r>
          </w:p>
        </w:tc>
      </w:tr>
      <w:tr>
        <w:trPr/>
        <w:tc>
          <w:tcPr>
            <w:tcW w:w="3301" w:type="dxa"/>
            <w:tcBorders/>
            <w:vAlign w:val="center"/>
          </w:tcPr>
          <w:p>
            <w:pPr>
              <w:pStyle w:val="TableContents"/>
              <w:bidi w:val="0"/>
              <w:spacing w:before="0" w:after="283"/>
              <w:jc w:val="start"/>
              <w:rPr/>
            </w:pPr>
            <w:r>
              <w:rPr/>
              <w:t xml:space="preserve">Postoperative VAS </w:t>
            </w:r>
          </w:p>
        </w:tc>
        <w:tc>
          <w:tcPr>
            <w:tcW w:w="2596" w:type="dxa"/>
            <w:tcBorders/>
            <w:vAlign w:val="center"/>
          </w:tcPr>
          <w:p>
            <w:pPr>
              <w:pStyle w:val="TableContents"/>
              <w:bidi w:val="0"/>
              <w:spacing w:before="0" w:after="283"/>
              <w:jc w:val="start"/>
              <w:rPr/>
            </w:pPr>
            <w:r>
              <w:rPr/>
              <w:t xml:space="preserve">3. 6±0. 7 </w:t>
            </w:r>
          </w:p>
        </w:tc>
        <w:tc>
          <w:tcPr>
            <w:tcW w:w="2551" w:type="dxa"/>
            <w:tcBorders/>
            <w:vAlign w:val="center"/>
          </w:tcPr>
          <w:p>
            <w:pPr>
              <w:pStyle w:val="TableContents"/>
              <w:bidi w:val="0"/>
              <w:spacing w:before="0" w:after="283"/>
              <w:jc w:val="start"/>
              <w:rPr/>
            </w:pPr>
            <w:r>
              <w:rPr/>
              <w:t xml:space="preserve">5. 5±1. 0 </w:t>
            </w:r>
          </w:p>
        </w:tc>
        <w:tc>
          <w:tcPr>
            <w:tcW w:w="916" w:type="dxa"/>
            <w:tcBorders/>
            <w:vAlign w:val="center"/>
          </w:tcPr>
          <w:p>
            <w:pPr>
              <w:pStyle w:val="TableContents"/>
              <w:bidi w:val="0"/>
              <w:spacing w:before="0" w:after="283"/>
              <w:jc w:val="start"/>
              <w:rPr/>
            </w:pPr>
            <w:r>
              <w:rPr/>
              <w:t xml:space="preserve">0. 000 </w:t>
            </w:r>
          </w:p>
        </w:tc>
      </w:tr>
      <w:tr>
        <w:trPr/>
        <w:tc>
          <w:tcPr>
            <w:tcW w:w="3301" w:type="dxa"/>
            <w:tcBorders/>
            <w:vAlign w:val="center"/>
          </w:tcPr>
          <w:p>
            <w:pPr>
              <w:pStyle w:val="TableContents"/>
              <w:bidi w:val="0"/>
              <w:spacing w:before="0" w:after="283"/>
              <w:jc w:val="start"/>
              <w:rPr/>
            </w:pPr>
            <w:r>
              <w:rPr/>
              <w:t xml:space="preserve">Postoperative hospital stay (d) </w:t>
            </w:r>
          </w:p>
        </w:tc>
        <w:tc>
          <w:tcPr>
            <w:tcW w:w="2596" w:type="dxa"/>
            <w:tcBorders/>
            <w:vAlign w:val="center"/>
          </w:tcPr>
          <w:p>
            <w:pPr>
              <w:pStyle w:val="TableContents"/>
              <w:bidi w:val="0"/>
              <w:spacing w:before="0" w:after="283"/>
              <w:jc w:val="start"/>
              <w:rPr/>
            </w:pPr>
            <w:r>
              <w:rPr/>
              <w:t xml:space="preserve">6. 9±4. 0 </w:t>
            </w:r>
          </w:p>
        </w:tc>
        <w:tc>
          <w:tcPr>
            <w:tcW w:w="2551" w:type="dxa"/>
            <w:tcBorders/>
            <w:vAlign w:val="center"/>
          </w:tcPr>
          <w:p>
            <w:pPr>
              <w:pStyle w:val="TableContents"/>
              <w:bidi w:val="0"/>
              <w:spacing w:before="0" w:after="283"/>
              <w:jc w:val="start"/>
              <w:rPr/>
            </w:pPr>
            <w:r>
              <w:rPr/>
              <w:t xml:space="preserve">8. 5±11. 8 </w:t>
            </w:r>
          </w:p>
        </w:tc>
        <w:tc>
          <w:tcPr>
            <w:tcW w:w="916" w:type="dxa"/>
            <w:tcBorders/>
            <w:vAlign w:val="center"/>
          </w:tcPr>
          <w:p>
            <w:pPr>
              <w:pStyle w:val="TableContents"/>
              <w:bidi w:val="0"/>
              <w:spacing w:before="0" w:after="283"/>
              <w:jc w:val="start"/>
              <w:rPr/>
            </w:pPr>
            <w:r>
              <w:rPr/>
              <w:t xml:space="preserve">0. 441 </w:t>
            </w:r>
          </w:p>
        </w:tc>
      </w:tr>
      <w:tr>
        <w:trPr/>
        <w:tc>
          <w:tcPr>
            <w:tcW w:w="3301" w:type="dxa"/>
            <w:tcBorders/>
            <w:vAlign w:val="center"/>
          </w:tcPr>
          <w:p>
            <w:pPr>
              <w:pStyle w:val="TableContents"/>
              <w:bidi w:val="0"/>
              <w:spacing w:before="0" w:after="283"/>
              <w:jc w:val="start"/>
              <w:rPr/>
            </w:pPr>
            <w:r>
              <w:rPr/>
              <w:t xml:space="preserve">Postoperative complications </w:t>
            </w:r>
          </w:p>
        </w:tc>
        <w:tc>
          <w:tcPr>
            <w:tcW w:w="2596" w:type="dxa"/>
            <w:tcBorders/>
            <w:vAlign w:val="center"/>
          </w:tcPr>
          <w:p>
            <w:pPr>
              <w:pStyle w:val="TableContents"/>
              <w:bidi w:val="0"/>
              <w:spacing w:before="0" w:after="283"/>
              <w:jc w:val="start"/>
              <w:rPr/>
            </w:pPr>
            <w:r>
              <w:rPr/>
              <w:t xml:space="preserve">2 </w:t>
            </w:r>
          </w:p>
        </w:tc>
        <w:tc>
          <w:tcPr>
            <w:tcW w:w="2551" w:type="dxa"/>
            <w:tcBorders/>
            <w:vAlign w:val="center"/>
          </w:tcPr>
          <w:p>
            <w:pPr>
              <w:pStyle w:val="TableContents"/>
              <w:bidi w:val="0"/>
              <w:spacing w:before="0" w:after="283"/>
              <w:jc w:val="start"/>
              <w:rPr/>
            </w:pPr>
            <w:r>
              <w:rPr/>
              <w:t xml:space="preserve">3 </w:t>
            </w:r>
          </w:p>
        </w:tc>
        <w:tc>
          <w:tcPr>
            <w:tcW w:w="916" w:type="dxa"/>
            <w:tcBorders/>
            <w:vAlign w:val="center"/>
          </w:tcPr>
          <w:p>
            <w:pPr>
              <w:pStyle w:val="TableContents"/>
              <w:bidi w:val="0"/>
              <w:spacing w:before="0" w:after="283"/>
              <w:jc w:val="start"/>
              <w:rPr/>
            </w:pPr>
            <w:r>
              <w:rPr/>
              <w:t xml:space="preserve">0. 799 </w:t>
            </w:r>
          </w:p>
        </w:tc>
      </w:tr>
      <w:tr>
        <w:trPr/>
        <w:tc>
          <w:tcPr>
            <w:tcW w:w="3301" w:type="dxa"/>
            <w:tcBorders/>
            <w:vAlign w:val="center"/>
          </w:tcPr>
          <w:p>
            <w:pPr>
              <w:pStyle w:val="TableContents"/>
              <w:bidi w:val="0"/>
              <w:spacing w:before="0" w:after="283"/>
              <w:jc w:val="start"/>
              <w:rPr/>
            </w:pPr>
            <w:r>
              <w:rPr/>
              <w:t xml:space="preserve">Arrhythmia </w:t>
            </w:r>
          </w:p>
        </w:tc>
        <w:tc>
          <w:tcPr>
            <w:tcW w:w="2596" w:type="dxa"/>
            <w:tcBorders/>
            <w:vAlign w:val="center"/>
          </w:tcPr>
          <w:p>
            <w:pPr>
              <w:pStyle w:val="TableContents"/>
              <w:bidi w:val="0"/>
              <w:spacing w:before="0" w:after="283"/>
              <w:jc w:val="start"/>
              <w:rPr/>
            </w:pPr>
            <w:r>
              <w:rPr/>
              <w:t xml:space="preserve">1 </w:t>
            </w:r>
          </w:p>
        </w:tc>
        <w:tc>
          <w:tcPr>
            <w:tcW w:w="2551" w:type="dxa"/>
            <w:tcBorders/>
            <w:vAlign w:val="center"/>
          </w:tcPr>
          <w:p>
            <w:pPr>
              <w:pStyle w:val="TableContents"/>
              <w:bidi w:val="0"/>
              <w:spacing w:before="0" w:after="283"/>
              <w:jc w:val="start"/>
              <w:rPr/>
            </w:pPr>
            <w:r>
              <w:rPr/>
              <w:t xml:space="preserve">1 </w:t>
            </w:r>
          </w:p>
        </w:tc>
        <w:tc>
          <w:tcPr>
            <w:tcW w:w="916" w:type="dxa"/>
            <w:tcBorders/>
            <w:vAlign w:val="center"/>
          </w:tcPr>
          <w:p>
            <w:pPr>
              <w:pStyle w:val="TableContents"/>
              <w:bidi w:val="0"/>
              <w:spacing w:before="0" w:after="283"/>
              <w:jc w:val="start"/>
              <w:rPr>
                <w:sz w:val="4"/>
                <w:szCs w:val="4"/>
              </w:rPr>
            </w:pPr>
            <w:r>
              <w:rPr>
                <w:sz w:val="4"/>
                <w:szCs w:val="4"/>
              </w:rPr>
            </w:r>
          </w:p>
        </w:tc>
      </w:tr>
      <w:tr>
        <w:trPr/>
        <w:tc>
          <w:tcPr>
            <w:tcW w:w="3301" w:type="dxa"/>
            <w:tcBorders/>
            <w:vAlign w:val="center"/>
          </w:tcPr>
          <w:p>
            <w:pPr>
              <w:pStyle w:val="TableContents"/>
              <w:bidi w:val="0"/>
              <w:spacing w:before="0" w:after="283"/>
              <w:jc w:val="start"/>
              <w:rPr/>
            </w:pPr>
            <w:r>
              <w:rPr/>
              <w:t xml:space="preserve">Systemic complications </w:t>
            </w:r>
          </w:p>
        </w:tc>
        <w:tc>
          <w:tcPr>
            <w:tcW w:w="2596" w:type="dxa"/>
            <w:tcBorders/>
            <w:vAlign w:val="center"/>
          </w:tcPr>
          <w:p>
            <w:pPr>
              <w:pStyle w:val="TableContents"/>
              <w:bidi w:val="0"/>
              <w:spacing w:before="0" w:after="283"/>
              <w:jc w:val="start"/>
              <w:rPr/>
            </w:pPr>
            <w:r>
              <w:rPr/>
              <w:t xml:space="preserve">1 </w:t>
            </w:r>
          </w:p>
        </w:tc>
        <w:tc>
          <w:tcPr>
            <w:tcW w:w="2551" w:type="dxa"/>
            <w:tcBorders/>
            <w:vAlign w:val="center"/>
          </w:tcPr>
          <w:p>
            <w:pPr>
              <w:pStyle w:val="TableContents"/>
              <w:bidi w:val="0"/>
              <w:spacing w:before="0" w:after="283"/>
              <w:jc w:val="start"/>
              <w:rPr/>
            </w:pPr>
            <w:r>
              <w:rPr/>
              <w:t xml:space="preserve">0 </w:t>
            </w:r>
          </w:p>
        </w:tc>
        <w:tc>
          <w:tcPr>
            <w:tcW w:w="916" w:type="dxa"/>
            <w:tcBorders/>
          </w:tcPr>
          <w:p>
            <w:pPr>
              <w:pStyle w:val="TableContents"/>
              <w:bidi w:val="0"/>
              <w:spacing w:before="0" w:after="283"/>
              <w:jc w:val="start"/>
              <w:rPr>
                <w:sz w:val="4"/>
                <w:szCs w:val="4"/>
              </w:rPr>
            </w:pPr>
            <w:r>
              <w:rPr>
                <w:sz w:val="4"/>
                <w:szCs w:val="4"/>
              </w:rPr>
            </w:r>
          </w:p>
        </w:tc>
      </w:tr>
      <w:tr>
        <w:trPr/>
        <w:tc>
          <w:tcPr>
            <w:tcW w:w="3301" w:type="dxa"/>
            <w:tcBorders/>
            <w:vAlign w:val="center"/>
          </w:tcPr>
          <w:p>
            <w:pPr>
              <w:pStyle w:val="TableContents"/>
              <w:bidi w:val="0"/>
              <w:spacing w:before="0" w:after="283"/>
              <w:jc w:val="start"/>
              <w:rPr/>
            </w:pPr>
            <w:r>
              <w:rPr/>
              <w:t xml:space="preserve">Air leakage </w:t>
            </w:r>
          </w:p>
        </w:tc>
        <w:tc>
          <w:tcPr>
            <w:tcW w:w="2596" w:type="dxa"/>
            <w:tcBorders/>
            <w:vAlign w:val="center"/>
          </w:tcPr>
          <w:p>
            <w:pPr>
              <w:pStyle w:val="TableContents"/>
              <w:bidi w:val="0"/>
              <w:spacing w:before="0" w:after="283"/>
              <w:jc w:val="start"/>
              <w:rPr/>
            </w:pPr>
            <w:r>
              <w:rPr/>
              <w:t xml:space="preserve">0 </w:t>
            </w:r>
          </w:p>
        </w:tc>
        <w:tc>
          <w:tcPr>
            <w:tcW w:w="2551" w:type="dxa"/>
            <w:tcBorders/>
            <w:vAlign w:val="center"/>
          </w:tcPr>
          <w:p>
            <w:pPr>
              <w:pStyle w:val="TableContents"/>
              <w:bidi w:val="0"/>
              <w:spacing w:before="0" w:after="283"/>
              <w:jc w:val="start"/>
              <w:rPr/>
            </w:pPr>
            <w:r>
              <w:rPr/>
              <w:t xml:space="preserve">1 </w:t>
            </w:r>
          </w:p>
        </w:tc>
        <w:tc>
          <w:tcPr>
            <w:tcW w:w="916" w:type="dxa"/>
            <w:tcBorders/>
          </w:tcPr>
          <w:p>
            <w:pPr>
              <w:pStyle w:val="TableContents"/>
              <w:bidi w:val="0"/>
              <w:spacing w:before="0" w:after="283"/>
              <w:jc w:val="start"/>
              <w:rPr>
                <w:sz w:val="4"/>
                <w:szCs w:val="4"/>
              </w:rPr>
            </w:pPr>
            <w:r>
              <w:rPr>
                <w:sz w:val="4"/>
                <w:szCs w:val="4"/>
              </w:rPr>
            </w:r>
          </w:p>
        </w:tc>
      </w:tr>
      <w:tr>
        <w:trPr/>
        <w:tc>
          <w:tcPr>
            <w:tcW w:w="3301" w:type="dxa"/>
            <w:tcBorders/>
            <w:vAlign w:val="center"/>
          </w:tcPr>
          <w:p>
            <w:pPr>
              <w:pStyle w:val="TableContents"/>
              <w:bidi w:val="0"/>
              <w:spacing w:before="0" w:after="283"/>
              <w:jc w:val="start"/>
              <w:rPr/>
            </w:pPr>
            <w:r>
              <w:rPr/>
              <w:t xml:space="preserve">Chylothorax </w:t>
            </w:r>
          </w:p>
        </w:tc>
        <w:tc>
          <w:tcPr>
            <w:tcW w:w="2596" w:type="dxa"/>
            <w:tcBorders/>
            <w:vAlign w:val="center"/>
          </w:tcPr>
          <w:p>
            <w:pPr>
              <w:pStyle w:val="TableContents"/>
              <w:bidi w:val="0"/>
              <w:spacing w:before="0" w:after="283"/>
              <w:jc w:val="start"/>
              <w:rPr/>
            </w:pPr>
            <w:r>
              <w:rPr/>
              <w:t xml:space="preserve">0 </w:t>
            </w:r>
          </w:p>
        </w:tc>
        <w:tc>
          <w:tcPr>
            <w:tcW w:w="2551" w:type="dxa"/>
            <w:tcBorders/>
            <w:vAlign w:val="center"/>
          </w:tcPr>
          <w:p>
            <w:pPr>
              <w:pStyle w:val="TableContents"/>
              <w:bidi w:val="0"/>
              <w:spacing w:before="0" w:after="283"/>
              <w:jc w:val="start"/>
              <w:rPr/>
            </w:pPr>
            <w:r>
              <w:rPr/>
              <w:t xml:space="preserve">1 </w:t>
            </w:r>
          </w:p>
        </w:tc>
        <w:tc>
          <w:tcPr>
            <w:tcW w:w="916" w:type="dxa"/>
            <w:tcBorders/>
          </w:tcPr>
          <w:p>
            <w:pPr>
              <w:pStyle w:val="TableContents"/>
              <w:bidi w:val="0"/>
              <w:spacing w:before="0" w:after="283"/>
              <w:jc w:val="start"/>
              <w:rPr>
                <w:sz w:val="4"/>
                <w:szCs w:val="4"/>
              </w:rPr>
            </w:pPr>
            <w:r>
              <w:rPr>
                <w:sz w:val="4"/>
                <w:szCs w:val="4"/>
              </w:rPr>
            </w:r>
          </w:p>
        </w:tc>
      </w:tr>
    </w:tbl>
    <w:p>
      <w:pPr>
        <w:pStyle w:val="Heading2"/>
        <w:bidi w:val="0"/>
        <w:jc w:val="start"/>
        <w:rPr/>
      </w:pPr>
      <w:r>
        <w:rPr/>
        <w:t xml:space="preserve">3. Discussions </w:t>
      </w:r>
    </w:p>
    <w:p>
      <w:pPr>
        <w:pStyle w:val="TextBody"/>
        <w:bidi w:val="0"/>
        <w:spacing w:before="0" w:after="283"/>
        <w:jc w:val="start"/>
        <w:rPr/>
      </w:pPr>
      <w:r>
        <w:rPr/>
        <w:t xml:space="preserve">Single-port thoracoscopic technique was first reported to diagnose and treat non-complicated pleura-related disease in 2003[7]. In 2004, it was used in pulmonary wedge resection by Rocco et al.[8]. Seven years later, single-port thoracoscopic technique was reported to conduct lobectomy and lymphadenectomy by Gonzalez et al[9]. Since then, it was applied gradually in segment resection of lung [10], total pneumonectomy [11], bronchial sleeve resection [12] and angioplasty of pulmonary arteries [13]. However, most available literature focused on the feasibility and safety of single-port thoracoscopic lobectomy, and no studies compared it with three-port thoracoscopic lobectomy. The presented study retrospectively investigated the differences of clinical outcomes between single-port thoracoscopic lobectomy and three-port thoracoscopic lobectomy for lung cancer. Jiang et al. [14] compared 160 cases of thoracoscopic lobectomy and 247 cases of conventional open surgery and found no significant differences in perioperative death (0. 6% vs. 2. 8%) and complication rate (9. 4% vs. 11. 7%) (P&gt; 0. 05). It is indicated that thoracoscopic lobectomy was technically safe to treat NSCLC. Similarly in our study, the complication rates were 6. 7% and 10. 0% for single-port group and three-port group, respectively. However, there were no deaths during perioperative period in our study. Therefore, our study indicated that single-port lobectomy was at least technically safe compared with three-port group. </w:t>
      </w:r>
    </w:p>
    <w:p>
      <w:pPr>
        <w:pStyle w:val="TextBody"/>
        <w:bidi w:val="0"/>
        <w:spacing w:before="0" w:after="283"/>
        <w:jc w:val="start"/>
        <w:rPr/>
      </w:pPr>
      <w:r>
        <w:rPr/>
        <w:t xml:space="preserve">The vital factor for radical resection of lung cancer by single-port thoracoscopic lobectomy was the dissection of lymph nodes. Jiang et al. [14] found no significant differences in dissection of lymph node groups (2. 4±1. 5 vs. 2. 6±1. 6) and lymph node harvest (9. 8±6. 2 vs. 9. 9±5. 9) between thoracoscopic lobectomy group and conventional open surgery group (P&gt; 0. 05). Similarly, Zhang et al.[15] found no significant differences in lymph node harvests (14. 6±7. 5 vs. 15. 2±4. 5) between video-assisted thoracoscopic surgery group and video-assisted micro thoracoscopy group. That was to say, the lymph node dissection by thoracoscopic lobectomy was at least equivalent to that by open surgery. In the presented study, there were no significant differences in total lymph node harvest (23. 6±11. 2 vs. 25. 4±7. 3), mediastinal lymph node harvest (16. 2±9. 2 vs. 17. 2±6. 5), dissection of mediastinal lymph node groups (4. 4±1. 0 vs. 4. 4±0. 8) between the single-port group and three-port group. These results suggested that the lymph node harvest was at least equivalent to the previous studies. In other words, the dissection of lymph nodes by single-port thoracoscopic lobectomy was feasible in respect of radical removal of tumors. However, the long-term outcomes need further follow-up to confirm in the future. </w:t>
      </w:r>
    </w:p>
    <w:p>
      <w:pPr>
        <w:pStyle w:val="TextBody"/>
        <w:bidi w:val="0"/>
        <w:spacing w:before="0" w:after="283"/>
        <w:jc w:val="start"/>
        <w:rPr/>
      </w:pPr>
      <w:r>
        <w:rPr/>
        <w:t xml:space="preserve">The incision of single-port thoracoscopic lobectomy was located at the cross point of anterior axillary line and the 4th/5th intercostal spaces, which, unlike conventional three-port thoracoscopy, did not have observation port or assisted-operation port. The 4th/5th intercostal spaces were wider with less muscle and less bleeding, which might have little impact on the postoperative recover with less pain. After comparing 20 cases of three-port thoracoscopic lobectomy and 10 cases of single-port thoracoscopic lobectomy in treating interstitial lung disease, Chen et al.[16] found that postoperative one-day VAS in single-port group (4. 95±0. 39) was significantly lower than that in three-port group (4. 5±0. 7) (P= 0. 03). Similarly in our study, postoperative one-day VAS in single-port group (3. 6±0. 7) was significantly lower than that in three-port group (5. 5±1. 0) (P &lt; 0. 05) </w:t>
      </w:r>
    </w:p>
    <w:p>
      <w:pPr>
        <w:pStyle w:val="TextBody"/>
        <w:bidi w:val="0"/>
        <w:spacing w:before="0" w:after="283"/>
        <w:jc w:val="start"/>
        <w:rPr/>
      </w:pPr>
      <w:r>
        <w:rPr/>
        <w:t xml:space="preserve">In the presented study, the operation time (209. 0±45. 5 min) in single-port group was significantly lower than that in three-port group (154. 5±30. 9 min). The reasons included 1) all the operating instruments and thoracoscopy went through the single port, which might interfere each other, especially when the focus was near the dorsal cavity and diaphragm. 2) single-port thoracoscopic lobectomy had a strict skill requirement of qualified camera assistant. The camera assistant was supposed to know how to cooperate with the operator, how to allocate the location within the incision, and how to keep the camera stable. Our operation team launched the single-port-thoracoscopic lobectomy since May 2014, and we believed that the operation time would be shortened as we optimized our technique gradually. </w:t>
      </w:r>
    </w:p>
    <w:p>
      <w:pPr>
        <w:pStyle w:val="TextBody"/>
        <w:bidi w:val="0"/>
        <w:spacing w:before="0" w:after="283"/>
        <w:jc w:val="start"/>
        <w:rPr/>
      </w:pPr>
      <w:r>
        <w:rPr/>
        <w:t xml:space="preserve">In summary, the feasibility and safety of single-port thoracoscopic lobectomy were similar to three-port thoracoscopic lobectomy for lung cancer patients. With the development of instruments, the optimization of surgical procedure, and the accumulation of surgical experience, the operation time would likely be shortened gradually. Therefore, single-port complete thoracoscopic lobectomy was supposed to be popularized with its merits of minimal invasiveness.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https://assignbuster.com/single-port-complete-thoracoscopic-lobectomy-feasibility/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Single-port complete thoracoscopic lobec...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le-port-complete-thoracoscopic-lobectomy-fea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Single-port complete thoracoscopic lobectomy feasibility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Single-port complete thoracoscopic lobectomy feasibility</dc:title>
  <dc:subject>Others;</dc:subject>
  <dc:creator>AssignBuster</dc:creator>
  <cp:keywords/>
  <dc:description>However, the operation time of single-port group was significantly longer than that of three-port group (p Conclusion: For lung cancer patients,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