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Sulfadimethoxine c12h14n4o4s structure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melting-point">
        <w:r>
          <w:rPr>
            <w:rStyle w:val="a8"/>
          </w:rPr>
          <w:t xml:space="preserve">Experimental Melting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solubility">
        <w:r>
          <w:rPr>
            <w:rStyle w:val="a8"/>
          </w:rPr>
          <w:t xml:space="preserve">Experimental Solubility: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dicted-melting-point">
        <w:r>
          <w:rPr>
            <w:rStyle w:val="a8"/>
          </w:rPr>
          <w:t xml:space="preserve">Predicted Melting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ty">
        <w:r>
          <w:rPr>
            <w:rStyle w:val="a8"/>
          </w:rPr>
          <w:t xml:space="preserve">Safety: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organs">
        <w:r>
          <w:rPr>
            <w:rStyle w:val="a8"/>
          </w:rPr>
          <w:t xml:space="preserve">Target Organs: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ug-status">
        <w:r>
          <w:rPr>
            <w:rStyle w:val="a8"/>
          </w:rPr>
          <w:t xml:space="preserve">Drug Status: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ound-source">
        <w:r>
          <w:rPr>
            <w:rStyle w:val="a8"/>
          </w:rPr>
          <w:t xml:space="preserve">Compound Source: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activity">
        <w:r>
          <w:rPr>
            <w:rStyle w:val="a8"/>
          </w:rPr>
          <w:t xml:space="preserve">Bio Activity: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tention-index-kovats">
        <w:r>
          <w:rPr>
            <w:rStyle w:val="a8"/>
          </w:rPr>
          <w:t xml:space="preserve">Retention Index (Kovats):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Retention Index (Kovats): </w:t>
      </w:r>
    </w:p>
    <w:tbl>
      <w:tblPr>
        <w:tblW w:w="4344" w:type="dxa"/>
        <w:jc w:val="start"/>
        <w:tblInd w:w="0" w:type="dxa"/>
        <w:tblLayout w:type="fixed"/>
        <w:tblCellMar>
          <w:top w:w="28" w:type="dxa"/>
          <w:start w:w="28" w:type="dxa"/>
          <w:bottom w:w="28" w:type="dxa"/>
          <w:end w:w="28" w:type="dxa"/>
        </w:tblCellMar>
      </w:tblPr>
      <w:tblGrid>
        <w:gridCol w:w="1832"/>
        <w:gridCol w:w="2512"/>
      </w:tblGrid>
      <w:tr>
        <w:trPr/>
        <w:tc>
          <w:tcPr>
            <w:tcW w:w="1832" w:type="dxa"/>
            <w:tcBorders/>
            <w:vAlign w:val="center"/>
          </w:tcPr>
          <w:p>
            <w:pPr>
              <w:pStyle w:val="TableContents"/>
              <w:bidi w:val="0"/>
              <w:spacing w:before="0" w:after="283"/>
              <w:jc w:val="start"/>
              <w:rPr/>
            </w:pPr>
            <w:r>
              <w:rPr/>
              <w:t xml:space="preserve">Molecular Formula </w:t>
            </w:r>
          </w:p>
        </w:tc>
        <w:tc>
          <w:tcPr>
            <w:tcW w:w="2512" w:type="dxa"/>
            <w:tcBorders/>
            <w:vAlign w:val="center"/>
          </w:tcPr>
          <w:p>
            <w:pPr>
              <w:pStyle w:val="TableContents"/>
              <w:bidi w:val="0"/>
              <w:spacing w:before="0" w:after="283"/>
              <w:jc w:val="start"/>
              <w:rPr/>
            </w:pPr>
            <w:r>
              <w:rPr/>
              <w:t xml:space="preserve">C </w:t>
            </w:r>
            <w:r>
              <w:rPr>
                <w:position w:val="-2"/>
                <w:sz w:val="19"/>
              </w:rPr>
              <w:t xml:space="preserve">12 </w:t>
            </w:r>
            <w:r>
              <w:rPr/>
              <w:t xml:space="preserve">H </w:t>
            </w:r>
            <w:r>
              <w:rPr>
                <w:position w:val="-2"/>
                <w:sz w:val="19"/>
              </w:rPr>
              <w:t xml:space="preserve">14 </w:t>
            </w:r>
            <w:r>
              <w:rPr/>
              <w:t xml:space="preserve">N </w:t>
            </w:r>
            <w:r>
              <w:rPr>
                <w:position w:val="-2"/>
                <w:sz w:val="19"/>
              </w:rPr>
              <w:t xml:space="preserve">4 </w:t>
            </w:r>
            <w:r>
              <w:rPr/>
              <w:t xml:space="preserve">O </w:t>
            </w:r>
            <w:r>
              <w:rPr>
                <w:position w:val="-2"/>
                <w:sz w:val="19"/>
              </w:rPr>
              <w:t xml:space="preserve">4 </w:t>
            </w:r>
            <w:r>
              <w:rPr/>
              <w:t xml:space="preserve">S </w:t>
            </w:r>
          </w:p>
        </w:tc>
      </w:tr>
      <w:tr>
        <w:trPr/>
        <w:tc>
          <w:tcPr>
            <w:tcW w:w="1832" w:type="dxa"/>
            <w:tcBorders/>
            <w:vAlign w:val="center"/>
          </w:tcPr>
          <w:p>
            <w:pPr>
              <w:pStyle w:val="TableContents"/>
              <w:bidi w:val="0"/>
              <w:spacing w:before="0" w:after="283"/>
              <w:jc w:val="start"/>
              <w:rPr/>
            </w:pPr>
            <w:r>
              <w:rPr/>
              <w:t xml:space="preserve">Average mass </w:t>
            </w:r>
          </w:p>
        </w:tc>
        <w:tc>
          <w:tcPr>
            <w:tcW w:w="2512" w:type="dxa"/>
            <w:tcBorders/>
            <w:vAlign w:val="center"/>
          </w:tcPr>
          <w:p>
            <w:pPr>
              <w:pStyle w:val="TableContents"/>
              <w:bidi w:val="0"/>
              <w:spacing w:before="0" w:after="283"/>
              <w:jc w:val="start"/>
              <w:rPr/>
            </w:pPr>
            <w:r>
              <w:rPr/>
              <w:t xml:space="preserve">310. 329 Da </w:t>
            </w:r>
          </w:p>
        </w:tc>
      </w:tr>
      <w:tr>
        <w:trPr/>
        <w:tc>
          <w:tcPr>
            <w:tcW w:w="1832" w:type="dxa"/>
            <w:tcBorders/>
            <w:vAlign w:val="center"/>
          </w:tcPr>
          <w:p>
            <w:pPr>
              <w:pStyle w:val="TableContents"/>
              <w:bidi w:val="0"/>
              <w:spacing w:before="0" w:after="283"/>
              <w:jc w:val="start"/>
              <w:rPr/>
            </w:pPr>
            <w:r>
              <w:rPr/>
              <w:t xml:space="preserve">Density </w:t>
            </w:r>
          </w:p>
        </w:tc>
        <w:tc>
          <w:tcPr>
            <w:tcW w:w="2512" w:type="dxa"/>
            <w:tcBorders/>
            <w:vAlign w:val="center"/>
          </w:tcPr>
          <w:p>
            <w:pPr>
              <w:pStyle w:val="TableContents"/>
              <w:bidi w:val="0"/>
              <w:spacing w:before="0" w:after="283"/>
              <w:jc w:val="start"/>
              <w:rPr/>
            </w:pPr>
            <w:r>
              <w:rPr/>
              <w:t xml:space="preserve">1. 4±0. 1 g/cm </w:t>
            </w:r>
            <w:r>
              <w:rPr>
                <w:position w:val="8"/>
                <w:sz w:val="19"/>
              </w:rPr>
              <w:t xml:space="preserve">3 </w:t>
            </w:r>
          </w:p>
        </w:tc>
      </w:tr>
      <w:tr>
        <w:trPr/>
        <w:tc>
          <w:tcPr>
            <w:tcW w:w="1832" w:type="dxa"/>
            <w:tcBorders/>
            <w:vAlign w:val="center"/>
          </w:tcPr>
          <w:p>
            <w:pPr>
              <w:pStyle w:val="TableContents"/>
              <w:bidi w:val="0"/>
              <w:spacing w:before="0" w:after="283"/>
              <w:jc w:val="start"/>
              <w:rPr/>
            </w:pPr>
            <w:r>
              <w:rPr/>
              <w:t xml:space="preserve">Boiling Point </w:t>
            </w:r>
          </w:p>
        </w:tc>
        <w:tc>
          <w:tcPr>
            <w:tcW w:w="2512" w:type="dxa"/>
            <w:tcBorders/>
            <w:vAlign w:val="center"/>
          </w:tcPr>
          <w:p>
            <w:pPr>
              <w:pStyle w:val="TableContents"/>
              <w:bidi w:val="0"/>
              <w:spacing w:before="0" w:after="283"/>
              <w:jc w:val="start"/>
              <w:rPr/>
            </w:pPr>
            <w:r>
              <w:rPr/>
              <w:t xml:space="preserve">548. 5±60. 0 °C at 760 mmHg </w:t>
            </w:r>
          </w:p>
        </w:tc>
      </w:tr>
      <w:tr>
        <w:trPr/>
        <w:tc>
          <w:tcPr>
            <w:tcW w:w="1832" w:type="dxa"/>
            <w:tcBorders/>
            <w:vAlign w:val="center"/>
          </w:tcPr>
          <w:p>
            <w:pPr>
              <w:pStyle w:val="TableContents"/>
              <w:bidi w:val="0"/>
              <w:spacing w:before="0" w:after="283"/>
              <w:jc w:val="start"/>
              <w:rPr/>
            </w:pPr>
            <w:r>
              <w:rPr/>
              <w:t xml:space="preserve">Flash Point </w:t>
            </w:r>
          </w:p>
        </w:tc>
        <w:tc>
          <w:tcPr>
            <w:tcW w:w="2512" w:type="dxa"/>
            <w:tcBorders/>
            <w:vAlign w:val="center"/>
          </w:tcPr>
          <w:p>
            <w:pPr>
              <w:pStyle w:val="TableContents"/>
              <w:bidi w:val="0"/>
              <w:spacing w:before="0" w:after="283"/>
              <w:jc w:val="start"/>
              <w:rPr/>
            </w:pPr>
            <w:r>
              <w:rPr/>
              <w:t xml:space="preserve">285. 5±32. 9 °C </w:t>
            </w:r>
          </w:p>
        </w:tc>
      </w:tr>
      <w:tr>
        <w:trPr/>
        <w:tc>
          <w:tcPr>
            <w:tcW w:w="1832" w:type="dxa"/>
            <w:tcBorders/>
            <w:vAlign w:val="center"/>
          </w:tcPr>
          <w:p>
            <w:pPr>
              <w:pStyle w:val="TableContents"/>
              <w:bidi w:val="0"/>
              <w:spacing w:before="0" w:after="283"/>
              <w:jc w:val="start"/>
              <w:rPr/>
            </w:pPr>
            <w:r>
              <w:rPr/>
              <w:t xml:space="preserve">Molar Refractivity </w:t>
            </w:r>
          </w:p>
        </w:tc>
        <w:tc>
          <w:tcPr>
            <w:tcW w:w="2512" w:type="dxa"/>
            <w:tcBorders/>
            <w:vAlign w:val="center"/>
          </w:tcPr>
          <w:p>
            <w:pPr>
              <w:pStyle w:val="TableContents"/>
              <w:bidi w:val="0"/>
              <w:spacing w:before="0" w:after="283"/>
              <w:jc w:val="start"/>
              <w:rPr/>
            </w:pPr>
            <w:r>
              <w:rPr/>
              <w:t xml:space="preserve">75. 9±0. 4 cm </w:t>
            </w:r>
            <w:r>
              <w:rPr>
                <w:position w:val="8"/>
                <w:sz w:val="19"/>
              </w:rPr>
              <w:t xml:space="preserve">3 </w:t>
            </w:r>
          </w:p>
        </w:tc>
      </w:tr>
      <w:tr>
        <w:trPr/>
        <w:tc>
          <w:tcPr>
            <w:tcW w:w="1832" w:type="dxa"/>
            <w:tcBorders/>
            <w:vAlign w:val="center"/>
          </w:tcPr>
          <w:p>
            <w:pPr>
              <w:pStyle w:val="TableContents"/>
              <w:bidi w:val="0"/>
              <w:spacing w:before="0" w:after="283"/>
              <w:jc w:val="start"/>
              <w:rPr/>
            </w:pPr>
            <w:r>
              <w:rPr/>
              <w:t xml:space="preserve">Polarizability </w:t>
            </w:r>
          </w:p>
        </w:tc>
        <w:tc>
          <w:tcPr>
            <w:tcW w:w="2512" w:type="dxa"/>
            <w:tcBorders/>
            <w:vAlign w:val="center"/>
          </w:tcPr>
          <w:p>
            <w:pPr>
              <w:pStyle w:val="TableContents"/>
              <w:bidi w:val="0"/>
              <w:spacing w:before="0" w:after="283"/>
              <w:jc w:val="start"/>
              <w:rPr/>
            </w:pPr>
            <w:r>
              <w:rPr/>
              <w:t xml:space="preserve">30. 1±0. 5 10 </w:t>
            </w:r>
            <w:r>
              <w:rPr>
                <w:position w:val="8"/>
                <w:sz w:val="19"/>
              </w:rPr>
              <w:t xml:space="preserve">-24 </w:t>
            </w:r>
            <w:r>
              <w:rPr/>
              <w:t xml:space="preserve">cm </w:t>
            </w:r>
            <w:r>
              <w:rPr>
                <w:position w:val="8"/>
                <w:sz w:val="19"/>
              </w:rPr>
              <w:t xml:space="preserve">3 </w:t>
            </w:r>
          </w:p>
        </w:tc>
      </w:tr>
      <w:tr>
        <w:trPr/>
        <w:tc>
          <w:tcPr>
            <w:tcW w:w="1832" w:type="dxa"/>
            <w:tcBorders/>
            <w:vAlign w:val="center"/>
          </w:tcPr>
          <w:p>
            <w:pPr>
              <w:pStyle w:val="TableContents"/>
              <w:bidi w:val="0"/>
              <w:spacing w:before="0" w:after="283"/>
              <w:jc w:val="start"/>
              <w:rPr/>
            </w:pPr>
            <w:r>
              <w:rPr/>
              <w:t xml:space="preserve">Surface Tension </w:t>
            </w:r>
          </w:p>
        </w:tc>
        <w:tc>
          <w:tcPr>
            <w:tcW w:w="2512" w:type="dxa"/>
            <w:tcBorders/>
            <w:vAlign w:val="center"/>
          </w:tcPr>
          <w:p>
            <w:pPr>
              <w:pStyle w:val="TableContents"/>
              <w:bidi w:val="0"/>
              <w:spacing w:before="0" w:after="283"/>
              <w:jc w:val="start"/>
              <w:rPr/>
            </w:pPr>
            <w:r>
              <w:rPr/>
              <w:t xml:space="preserve">69. 5±3. 0 dyne/cm </w:t>
            </w:r>
          </w:p>
        </w:tc>
      </w:tr>
      <w:tr>
        <w:trPr/>
        <w:tc>
          <w:tcPr>
            <w:tcW w:w="1832" w:type="dxa"/>
            <w:tcBorders/>
            <w:vAlign w:val="center"/>
          </w:tcPr>
          <w:p>
            <w:pPr>
              <w:pStyle w:val="TableContents"/>
              <w:bidi w:val="0"/>
              <w:spacing w:before="0" w:after="283"/>
              <w:jc w:val="start"/>
              <w:rPr/>
            </w:pPr>
            <w:r>
              <w:rPr/>
              <w:t xml:space="preserve">Molar Volume </w:t>
            </w:r>
          </w:p>
        </w:tc>
        <w:tc>
          <w:tcPr>
            <w:tcW w:w="2512" w:type="dxa"/>
            <w:tcBorders/>
            <w:vAlign w:val="center"/>
          </w:tcPr>
          <w:p>
            <w:pPr>
              <w:pStyle w:val="TableContents"/>
              <w:bidi w:val="0"/>
              <w:spacing w:before="0" w:after="283"/>
              <w:jc w:val="start"/>
              <w:rPr/>
            </w:pPr>
            <w:r>
              <w:rPr/>
              <w:t xml:space="preserve">215. 3±3. 0 cm </w:t>
            </w:r>
            <w:r>
              <w:rPr>
                <w:position w:val="8"/>
                <w:sz w:val="19"/>
              </w:rPr>
              <w:t xml:space="preserve">3 </w:t>
            </w:r>
          </w:p>
        </w:tc>
      </w:tr>
    </w:tbl>
    <w:p>
      <w:pPr>
        <w:pStyle w:val="TextBody"/>
        <w:numPr>
          <w:ilvl w:val="0"/>
          <w:numId w:val="4"/>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4"/>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4"/>
        </w:numPr>
        <w:tabs>
          <w:tab w:val="clear" w:pos="1134"/>
          <w:tab w:val="left" w:pos="709" w:leader="none"/>
        </w:tabs>
        <w:bidi w:val="0"/>
        <w:spacing w:before="0" w:after="0"/>
        <w:ind w:start="709" w:hanging="283"/>
        <w:jc w:val="start"/>
        <w:rPr/>
      </w:pPr>
      <w:r>
        <w:rPr/>
        <w:t xml:space="preserve">Predicted – EPISuite </w:t>
      </w:r>
    </w:p>
    <w:p>
      <w:pPr>
        <w:pStyle w:val="TextBody"/>
        <w:numPr>
          <w:ilvl w:val="0"/>
          <w:numId w:val="4"/>
        </w:numPr>
        <w:tabs>
          <w:tab w:val="clear" w:pos="1134"/>
          <w:tab w:val="left" w:pos="709" w:leader="none"/>
        </w:tabs>
        <w:bidi w:val="0"/>
        <w:spacing w:before="0" w:after="0"/>
        <w:ind w:start="709" w:hanging="283"/>
        <w:jc w:val="start"/>
        <w:rPr/>
      </w:pPr>
      <w:r>
        <w:rPr/>
        <w:t xml:space="preserve">Predicted – ChemAxon </w:t>
      </w:r>
    </w:p>
    <w:p>
      <w:pPr>
        <w:pStyle w:val="TextBody"/>
        <w:numPr>
          <w:ilvl w:val="0"/>
          <w:numId w:val="4"/>
        </w:numPr>
        <w:tabs>
          <w:tab w:val="clear" w:pos="1134"/>
          <w:tab w:val="left" w:pos="709" w:leader="none"/>
        </w:tabs>
        <w:bidi w:val="0"/>
        <w:ind w:start="709" w:hanging="283"/>
        <w:jc w:val="start"/>
        <w:rPr/>
      </w:pPr>
      <w:r>
        <w:rPr/>
        <w:t xml:space="preserve">Predicted – Mcule </w:t>
      </w:r>
    </w:p>
    <w:p>
      <w:pPr>
        <w:pStyle w:val="TextBody"/>
        <w:numPr>
          <w:ilvl w:val="0"/>
          <w:numId w:val="5"/>
        </w:numPr>
        <w:tabs>
          <w:tab w:val="clear" w:pos="1134"/>
          <w:tab w:val="left" w:pos="709" w:leader="none"/>
        </w:tabs>
        <w:bidi w:val="0"/>
        <w:spacing w:before="0" w:after="0"/>
        <w:ind w:start="709" w:hanging="283"/>
        <w:jc w:val="start"/>
        <w:rPr/>
      </w:pPr>
      <w:r>
        <w:rPr/>
        <w:t xml:space="preserve">Experimental Physico-chemical Properties </w:t>
      </w:r>
    </w:p>
    <w:p>
      <w:pPr>
        <w:pStyle w:val="Heading2"/>
        <w:numPr>
          <w:ilvl w:val="1"/>
          <w:numId w:val="5"/>
        </w:numPr>
        <w:tabs>
          <w:tab w:val="clear" w:pos="1134"/>
          <w:tab w:val="left" w:pos="1418" w:leader="none"/>
        </w:tabs>
        <w:bidi w:val="0"/>
        <w:ind w:start="1418" w:hanging="283"/>
        <w:jc w:val="start"/>
        <w:rPr/>
      </w:pPr>
      <w:bookmarkStart w:id="1" w:name="experimental-melting-point"/>
      <w:bookmarkEnd w:id="1"/>
      <w:r>
        <w:rPr/>
        <w:t xml:space="preserve">Experimental Melting Point: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200 °CTCIS0359 </w:t>
            </w:r>
          </w:p>
        </w:tc>
      </w:tr>
      <w:tr>
        <w:trPr/>
        <w:tc>
          <w:tcPr>
            <w:tcW w:w="2926" w:type="dxa"/>
            <w:tcBorders/>
            <w:vAlign w:val="center"/>
          </w:tcPr>
          <w:p>
            <w:pPr>
              <w:pStyle w:val="TableContents"/>
              <w:bidi w:val="0"/>
              <w:spacing w:before="0" w:after="283"/>
              <w:jc w:val="start"/>
              <w:rPr/>
            </w:pPr>
            <w:r>
              <w:rPr/>
              <w:t xml:space="preserve">201 °CLKT Labs[S8246] </w:t>
            </w:r>
          </w:p>
        </w:tc>
      </w:tr>
      <w:tr>
        <w:trPr/>
        <w:tc>
          <w:tcPr>
            <w:tcW w:w="2926" w:type="dxa"/>
            <w:tcBorders/>
            <w:vAlign w:val="center"/>
          </w:tcPr>
          <w:p>
            <w:pPr>
              <w:pStyle w:val="TableContents"/>
              <w:bidi w:val="0"/>
              <w:spacing w:before="0" w:after="283"/>
              <w:jc w:val="start"/>
              <w:rPr/>
            </w:pPr>
            <w:r>
              <w:rPr/>
              <w:t xml:space="preserve">203. 5 °CJean-Claude Bradley Open Melting Point Dataset21541, 28536, 28537, 28538 </w:t>
            </w:r>
          </w:p>
        </w:tc>
      </w:tr>
      <w:tr>
        <w:trPr/>
        <w:tc>
          <w:tcPr>
            <w:tcW w:w="2926" w:type="dxa"/>
            <w:tcBorders/>
            <w:vAlign w:val="center"/>
          </w:tcPr>
          <w:p>
            <w:pPr>
              <w:pStyle w:val="TableContents"/>
              <w:bidi w:val="0"/>
              <w:spacing w:before="0" w:after="283"/>
              <w:jc w:val="start"/>
              <w:rPr/>
            </w:pPr>
            <w:r>
              <w:rPr/>
              <w:t xml:space="preserve">204. 5 °CJean-Claude Bradley Open Melting Point Dataset28536, 28537, 28538 </w:t>
            </w:r>
          </w:p>
        </w:tc>
      </w:tr>
      <w:tr>
        <w:trPr/>
        <w:tc>
          <w:tcPr>
            <w:tcW w:w="2926" w:type="dxa"/>
            <w:tcBorders/>
            <w:vAlign w:val="center"/>
          </w:tcPr>
          <w:p>
            <w:pPr>
              <w:pStyle w:val="TableContents"/>
              <w:bidi w:val="0"/>
              <w:spacing w:before="0" w:after="283"/>
              <w:jc w:val="start"/>
              <w:rPr/>
            </w:pPr>
            <w:r>
              <w:rPr/>
              <w:t xml:space="preserve">200 °CLabNetworkLN00194965 </w:t>
            </w:r>
          </w:p>
        </w:tc>
      </w:tr>
      <w:tr>
        <w:trPr/>
        <w:tc>
          <w:tcPr>
            <w:tcW w:w="2926" w:type="dxa"/>
            <w:tcBorders/>
            <w:vAlign w:val="center"/>
          </w:tcPr>
          <w:p>
            <w:pPr>
              <w:pStyle w:val="TableContents"/>
              <w:bidi w:val="0"/>
              <w:spacing w:before="0" w:after="283"/>
              <w:jc w:val="start"/>
              <w:rPr/>
            </w:pPr>
            <w:r>
              <w:rPr/>
              <w:t xml:space="preserve">201-203 °CFooDBFDB010661 </w:t>
            </w:r>
          </w:p>
        </w:tc>
      </w:tr>
    </w:tbl>
    <w:p>
      <w:pPr>
        <w:pStyle w:val="Heading2"/>
        <w:numPr>
          <w:ilvl w:val="1"/>
          <w:numId w:val="5"/>
        </w:numPr>
        <w:tabs>
          <w:tab w:val="clear" w:pos="1134"/>
          <w:tab w:val="left" w:pos="1418" w:leader="none"/>
        </w:tabs>
        <w:bidi w:val="0"/>
        <w:ind w:start="1418" w:hanging="283"/>
        <w:jc w:val="start"/>
        <w:rPr/>
      </w:pPr>
      <w:bookmarkStart w:id="2" w:name="experimental-solubility"/>
      <w:bookmarkEnd w:id="2"/>
      <w:r>
        <w:rPr/>
        <w:t xml:space="preserve">Experimental Solubility: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10 mM in DMSOMedChem ExpressHY-B0337 </w:t>
            </w:r>
          </w:p>
        </w:tc>
      </w:tr>
      <w:tr>
        <w:trPr/>
        <w:tc>
          <w:tcPr>
            <w:tcW w:w="2926" w:type="dxa"/>
            <w:tcBorders/>
            <w:vAlign w:val="center"/>
          </w:tcPr>
          <w:p>
            <w:pPr>
              <w:pStyle w:val="TableContents"/>
              <w:bidi w:val="0"/>
              <w:spacing w:before="0" w:after="283"/>
              <w:jc w:val="start"/>
              <w:rPr/>
            </w:pPr>
            <w:r>
              <w:rPr/>
              <w:t xml:space="preserve">10 mM in H2OMedChem ExpressHY-B0337 </w:t>
            </w:r>
          </w:p>
        </w:tc>
      </w:tr>
      <w:tr>
        <w:trPr/>
        <w:tc>
          <w:tcPr>
            <w:tcW w:w="2926" w:type="dxa"/>
            <w:tcBorders/>
            <w:vAlign w:val="center"/>
          </w:tcPr>
          <w:p>
            <w:pPr>
              <w:pStyle w:val="TableContents"/>
              <w:bidi w:val="0"/>
              <w:spacing w:before="0" w:after="283"/>
              <w:jc w:val="start"/>
              <w:rPr/>
            </w:pPr>
            <w:r>
              <w:rPr/>
              <w:t xml:space="preserve">Soluble in dilute HCl, and in aqueous solutions of sodium carbonate. LKT Labs[S8246] </w:t>
            </w:r>
          </w:p>
        </w:tc>
      </w:tr>
    </w:tbl>
    <w:p>
      <w:pPr>
        <w:pStyle w:val="TextBody"/>
        <w:numPr>
          <w:ilvl w:val="0"/>
          <w:numId w:val="5"/>
        </w:numPr>
        <w:tabs>
          <w:tab w:val="clear" w:pos="1134"/>
          <w:tab w:val="left" w:pos="709" w:leader="none"/>
        </w:tabs>
        <w:bidi w:val="0"/>
        <w:spacing w:before="0" w:after="0"/>
        <w:ind w:start="709" w:hanging="283"/>
        <w:jc w:val="start"/>
        <w:rPr/>
      </w:pPr>
      <w:r>
        <w:rPr/>
        <w:t xml:space="preserve">Predicted Physico-chemical Properties </w:t>
      </w:r>
    </w:p>
    <w:p>
      <w:pPr>
        <w:pStyle w:val="Heading2"/>
        <w:numPr>
          <w:ilvl w:val="1"/>
          <w:numId w:val="5"/>
        </w:numPr>
        <w:tabs>
          <w:tab w:val="clear" w:pos="1134"/>
          <w:tab w:val="left" w:pos="1418" w:leader="none"/>
        </w:tabs>
        <w:bidi w:val="0"/>
        <w:ind w:start="1418" w:hanging="283"/>
        <w:jc w:val="start"/>
        <w:rPr/>
      </w:pPr>
      <w:bookmarkStart w:id="3" w:name="predicted-melting-point"/>
      <w:bookmarkEnd w:id="3"/>
      <w:r>
        <w:rPr/>
        <w:t xml:space="preserve">Predicted Melting Point: </w:t>
      </w:r>
    </w:p>
    <w:tbl>
      <w:tblPr>
        <w:tblW w:w="1906" w:type="dxa"/>
        <w:jc w:val="start"/>
        <w:tblInd w:w="1418" w:type="dxa"/>
        <w:tblLayout w:type="fixed"/>
        <w:tblCellMar>
          <w:top w:w="28" w:type="dxa"/>
          <w:start w:w="28" w:type="dxa"/>
          <w:bottom w:w="28" w:type="dxa"/>
          <w:end w:w="28" w:type="dxa"/>
        </w:tblCellMar>
      </w:tblPr>
      <w:tblGrid>
        <w:gridCol w:w="1906"/>
      </w:tblGrid>
      <w:tr>
        <w:trPr/>
        <w:tc>
          <w:tcPr>
            <w:tcW w:w="1906" w:type="dxa"/>
            <w:tcBorders/>
            <w:vAlign w:val="center"/>
          </w:tcPr>
          <w:p>
            <w:pPr>
              <w:pStyle w:val="TableContents"/>
              <w:bidi w:val="0"/>
              <w:spacing w:before="0" w:after="283"/>
              <w:jc w:val="start"/>
              <w:rPr/>
            </w:pPr>
            <w:r>
              <w:rPr/>
              <w:t xml:space="preserve">200 °CTCI </w:t>
            </w:r>
          </w:p>
        </w:tc>
      </w:tr>
      <w:tr>
        <w:trPr/>
        <w:tc>
          <w:tcPr>
            <w:tcW w:w="1906" w:type="dxa"/>
            <w:tcBorders/>
            <w:vAlign w:val="center"/>
          </w:tcPr>
          <w:p>
            <w:pPr>
              <w:pStyle w:val="TableContents"/>
              <w:bidi w:val="0"/>
              <w:spacing w:before="0" w:after="283"/>
              <w:jc w:val="start"/>
              <w:rPr/>
            </w:pPr>
            <w:r>
              <w:rPr/>
              <w:t xml:space="preserve">200 °CTCIS0359 </w:t>
            </w:r>
          </w:p>
        </w:tc>
      </w:tr>
    </w:tbl>
    <w:p>
      <w:pPr>
        <w:pStyle w:val="TextBody"/>
        <w:numPr>
          <w:ilvl w:val="0"/>
          <w:numId w:val="5"/>
        </w:numPr>
        <w:tabs>
          <w:tab w:val="clear" w:pos="1134"/>
          <w:tab w:val="left" w:pos="709" w:leader="none"/>
        </w:tabs>
        <w:bidi w:val="0"/>
        <w:spacing w:before="0" w:after="0"/>
        <w:ind w:start="709" w:hanging="283"/>
        <w:jc w:val="start"/>
        <w:rPr/>
      </w:pPr>
      <w:r>
        <w:rPr/>
        <w:t xml:space="preserve">Miscellaneous </w:t>
      </w:r>
    </w:p>
    <w:p>
      <w:pPr>
        <w:pStyle w:val="Heading2"/>
        <w:numPr>
          <w:ilvl w:val="1"/>
          <w:numId w:val="5"/>
        </w:numPr>
        <w:tabs>
          <w:tab w:val="clear" w:pos="1134"/>
          <w:tab w:val="left" w:pos="1418" w:leader="none"/>
        </w:tabs>
        <w:bidi w:val="0"/>
        <w:ind w:start="1418" w:hanging="283"/>
        <w:jc w:val="start"/>
        <w:rPr/>
      </w:pPr>
      <w:bookmarkStart w:id="4" w:name="safety"/>
      <w:bookmarkEnd w:id="4"/>
      <w:r>
        <w:rPr/>
        <w:t xml:space="preserve">Safety: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36/37/38-43LKT Labs[S8246] </w:t>
            </w:r>
          </w:p>
        </w:tc>
      </w:tr>
      <w:tr>
        <w:trPr/>
        <w:tc>
          <w:tcPr>
            <w:tcW w:w="2926" w:type="dxa"/>
            <w:tcBorders/>
            <w:vAlign w:val="center"/>
          </w:tcPr>
          <w:p>
            <w:pPr>
              <w:pStyle w:val="TableContents"/>
              <w:bidi w:val="0"/>
              <w:spacing w:before="0" w:after="283"/>
              <w:jc w:val="start"/>
              <w:rPr/>
            </w:pPr>
            <w:r>
              <w:rPr/>
              <w:t xml:space="preserve">H315 H317 H319 H335LKT Labs[S8246] </w:t>
            </w:r>
          </w:p>
        </w:tc>
      </w:tr>
      <w:tr>
        <w:trPr/>
        <w:tc>
          <w:tcPr>
            <w:tcW w:w="2926" w:type="dxa"/>
            <w:tcBorders/>
            <w:vAlign w:val="center"/>
          </w:tcPr>
          <w:p>
            <w:pPr>
              <w:pStyle w:val="TableContents"/>
              <w:bidi w:val="0"/>
              <w:spacing w:before="0" w:after="283"/>
              <w:jc w:val="start"/>
              <w:rPr/>
            </w:pPr>
            <w:r>
              <w:rPr/>
              <w:t xml:space="preserve">NoneLKT Labs[S8246] </w:t>
            </w:r>
          </w:p>
        </w:tc>
      </w:tr>
      <w:tr>
        <w:trPr/>
        <w:tc>
          <w:tcPr>
            <w:tcW w:w="2926" w:type="dxa"/>
            <w:tcBorders/>
            <w:vAlign w:val="center"/>
          </w:tcPr>
          <w:p>
            <w:pPr>
              <w:pStyle w:val="TableContents"/>
              <w:bidi w:val="0"/>
              <w:spacing w:before="0" w:after="283"/>
              <w:jc w:val="start"/>
              <w:rPr/>
            </w:pPr>
            <w:r>
              <w:rPr/>
              <w:t xml:space="preserve">XiAbblis ChemicalsAB1004582 </w:t>
            </w:r>
          </w:p>
        </w:tc>
      </w:tr>
      <w:tr>
        <w:trPr/>
        <w:tc>
          <w:tcPr>
            <w:tcW w:w="2926" w:type="dxa"/>
            <w:tcBorders/>
            <w:vAlign w:val="center"/>
          </w:tcPr>
          <w:p>
            <w:pPr>
              <w:pStyle w:val="TableContents"/>
              <w:bidi w:val="0"/>
              <w:spacing w:before="0" w:after="283"/>
              <w:jc w:val="start"/>
              <w:rPr/>
            </w:pPr>
            <w:r>
              <w:rPr/>
              <w:t xml:space="preserve">XiLKT Labs[S8246] </w:t>
            </w:r>
          </w:p>
        </w:tc>
      </w:tr>
    </w:tbl>
    <w:p>
      <w:pPr>
        <w:pStyle w:val="Heading2"/>
        <w:numPr>
          <w:ilvl w:val="1"/>
          <w:numId w:val="5"/>
        </w:numPr>
        <w:tabs>
          <w:tab w:val="clear" w:pos="1134"/>
          <w:tab w:val="left" w:pos="1418" w:leader="none"/>
        </w:tabs>
        <w:bidi w:val="0"/>
        <w:ind w:start="1418" w:hanging="283"/>
        <w:jc w:val="start"/>
        <w:rPr/>
      </w:pPr>
      <w:bookmarkStart w:id="5" w:name="target-organs"/>
      <w:bookmarkEnd w:id="5"/>
      <w:r>
        <w:rPr/>
        <w:t xml:space="preserve">Target Organs: </w:t>
      </w:r>
    </w:p>
    <w:tbl>
      <w:tblPr>
        <w:tblW w:w="2806" w:type="dxa"/>
        <w:jc w:val="start"/>
        <w:tblInd w:w="1418" w:type="dxa"/>
        <w:tblLayout w:type="fixed"/>
        <w:tblCellMar>
          <w:top w:w="28" w:type="dxa"/>
          <w:start w:w="28" w:type="dxa"/>
          <w:bottom w:w="28" w:type="dxa"/>
          <w:end w:w="28" w:type="dxa"/>
        </w:tblCellMar>
      </w:tblPr>
      <w:tblGrid>
        <w:gridCol w:w="2806"/>
      </w:tblGrid>
      <w:tr>
        <w:trPr/>
        <w:tc>
          <w:tcPr>
            <w:tcW w:w="2806" w:type="dxa"/>
            <w:tcBorders/>
            <w:vAlign w:val="center"/>
          </w:tcPr>
          <w:p>
            <w:pPr>
              <w:pStyle w:val="TableContents"/>
              <w:bidi w:val="0"/>
              <w:spacing w:before="0" w:after="283"/>
              <w:jc w:val="start"/>
              <w:rPr/>
            </w:pPr>
            <w:r>
              <w:rPr/>
              <w:t xml:space="preserve">AntibioticTargetMolT1078 </w:t>
            </w:r>
          </w:p>
        </w:tc>
      </w:tr>
    </w:tbl>
    <w:p>
      <w:pPr>
        <w:pStyle w:val="Heading2"/>
        <w:numPr>
          <w:ilvl w:val="1"/>
          <w:numId w:val="5"/>
        </w:numPr>
        <w:tabs>
          <w:tab w:val="clear" w:pos="1134"/>
          <w:tab w:val="left" w:pos="1418" w:leader="none"/>
        </w:tabs>
        <w:bidi w:val="0"/>
        <w:ind w:start="1418" w:hanging="283"/>
        <w:jc w:val="start"/>
        <w:rPr/>
      </w:pPr>
      <w:bookmarkStart w:id="6" w:name="drug-status"/>
      <w:bookmarkEnd w:id="6"/>
      <w:r>
        <w:rPr/>
        <w:t xml:space="preserve">Drug Status: </w:t>
      </w:r>
    </w:p>
    <w:tbl>
      <w:tblPr>
        <w:tblW w:w="4276" w:type="dxa"/>
        <w:jc w:val="start"/>
        <w:tblInd w:w="1418" w:type="dxa"/>
        <w:tblLayout w:type="fixed"/>
        <w:tblCellMar>
          <w:top w:w="28" w:type="dxa"/>
          <w:start w:w="28" w:type="dxa"/>
          <w:bottom w:w="28" w:type="dxa"/>
          <w:end w:w="28" w:type="dxa"/>
        </w:tblCellMar>
      </w:tblPr>
      <w:tblGrid>
        <w:gridCol w:w="4276"/>
      </w:tblGrid>
      <w:tr>
        <w:trPr/>
        <w:tc>
          <w:tcPr>
            <w:tcW w:w="4276" w:type="dxa"/>
            <w:tcBorders/>
            <w:vAlign w:val="center"/>
          </w:tcPr>
          <w:p>
            <w:pPr>
              <w:pStyle w:val="TableContents"/>
              <w:bidi w:val="0"/>
              <w:spacing w:before="0" w:after="283"/>
              <w:jc w:val="start"/>
              <w:rPr/>
            </w:pPr>
            <w:r>
              <w:rPr/>
              <w:t xml:space="preserve">approvedBIONET-Key OrganicsKS-5335 </w:t>
            </w:r>
          </w:p>
        </w:tc>
      </w:tr>
    </w:tbl>
    <w:p>
      <w:pPr>
        <w:pStyle w:val="Heading2"/>
        <w:numPr>
          <w:ilvl w:val="1"/>
          <w:numId w:val="5"/>
        </w:numPr>
        <w:tabs>
          <w:tab w:val="clear" w:pos="1134"/>
          <w:tab w:val="left" w:pos="1418" w:leader="none"/>
        </w:tabs>
        <w:bidi w:val="0"/>
        <w:ind w:start="1418" w:hanging="283"/>
        <w:jc w:val="start"/>
        <w:rPr/>
      </w:pPr>
      <w:bookmarkStart w:id="7" w:name="compound-source"/>
      <w:bookmarkEnd w:id="7"/>
      <w:r>
        <w:rPr/>
        <w:t xml:space="preserve">Compound Source: </w:t>
      </w:r>
    </w:p>
    <w:tbl>
      <w:tblPr>
        <w:tblW w:w="3361" w:type="dxa"/>
        <w:jc w:val="start"/>
        <w:tblInd w:w="1418" w:type="dxa"/>
        <w:tblLayout w:type="fixed"/>
        <w:tblCellMar>
          <w:top w:w="28" w:type="dxa"/>
          <w:start w:w="28" w:type="dxa"/>
          <w:bottom w:w="28" w:type="dxa"/>
          <w:end w:w="28" w:type="dxa"/>
        </w:tblCellMar>
      </w:tblPr>
      <w:tblGrid>
        <w:gridCol w:w="3361"/>
      </w:tblGrid>
      <w:tr>
        <w:trPr/>
        <w:tc>
          <w:tcPr>
            <w:tcW w:w="3361" w:type="dxa"/>
            <w:tcBorders/>
            <w:vAlign w:val="center"/>
          </w:tcPr>
          <w:p>
            <w:pPr>
              <w:pStyle w:val="TableContents"/>
              <w:bidi w:val="0"/>
              <w:spacing w:before="0" w:after="283"/>
              <w:jc w:val="start"/>
              <w:rPr/>
            </w:pPr>
            <w:r>
              <w:rPr/>
              <w:t xml:space="preserve">syntheticMicrosource[01501144] </w:t>
            </w:r>
          </w:p>
        </w:tc>
      </w:tr>
    </w:tbl>
    <w:p>
      <w:pPr>
        <w:pStyle w:val="Heading2"/>
        <w:numPr>
          <w:ilvl w:val="1"/>
          <w:numId w:val="5"/>
        </w:numPr>
        <w:tabs>
          <w:tab w:val="clear" w:pos="1134"/>
          <w:tab w:val="left" w:pos="1418" w:leader="none"/>
        </w:tabs>
        <w:bidi w:val="0"/>
        <w:ind w:start="1418" w:hanging="283"/>
        <w:jc w:val="start"/>
        <w:rPr/>
      </w:pPr>
      <w:bookmarkStart w:id="8" w:name="bio-activity"/>
      <w:bookmarkEnd w:id="8"/>
      <w:r>
        <w:rPr/>
        <w:t xml:space="preserve">Bio Activity: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AntibacterialMedChem ExpressHY-B0337 </w:t>
            </w:r>
          </w:p>
        </w:tc>
      </w:tr>
      <w:tr>
        <w:trPr/>
        <w:tc>
          <w:tcPr>
            <w:tcW w:w="2926" w:type="dxa"/>
            <w:tcBorders/>
            <w:vAlign w:val="center"/>
          </w:tcPr>
          <w:p>
            <w:pPr>
              <w:pStyle w:val="TableContents"/>
              <w:bidi w:val="0"/>
              <w:spacing w:before="0" w:after="283"/>
              <w:jc w:val="start"/>
              <w:rPr/>
            </w:pPr>
            <w:r>
              <w:rPr/>
              <w:t xml:space="preserve">Anti-infectionMedChem ExpressHY-B0337 </w:t>
            </w:r>
          </w:p>
        </w:tc>
      </w:tr>
      <w:tr>
        <w:trPr/>
        <w:tc>
          <w:tcPr>
            <w:tcW w:w="2926" w:type="dxa"/>
            <w:tcBorders/>
            <w:vAlign w:val="center"/>
          </w:tcPr>
          <w:p>
            <w:pPr>
              <w:pStyle w:val="TableContents"/>
              <w:bidi w:val="0"/>
              <w:spacing w:before="0" w:after="283"/>
              <w:jc w:val="start"/>
              <w:rPr/>
            </w:pPr>
            <w:r>
              <w:rPr/>
              <w:t xml:space="preserve">Anti-infection; MedChem ExpressHY-B0337 </w:t>
            </w:r>
          </w:p>
        </w:tc>
      </w:tr>
      <w:tr>
        <w:trPr/>
        <w:tc>
          <w:tcPr>
            <w:tcW w:w="2926" w:type="dxa"/>
            <w:tcBorders/>
            <w:vAlign w:val="center"/>
          </w:tcPr>
          <w:p>
            <w:pPr>
              <w:pStyle w:val="TableContents"/>
              <w:bidi w:val="0"/>
              <w:spacing w:before="0" w:after="283"/>
              <w:jc w:val="start"/>
              <w:rPr/>
            </w:pPr>
            <w:r>
              <w:rPr/>
              <w:t xml:space="preserve">Microbiology &amp; VirologyTargetMolT1078 </w:t>
            </w:r>
          </w:p>
        </w:tc>
      </w:tr>
      <w:tr>
        <w:trPr/>
        <w:tc>
          <w:tcPr>
            <w:tcW w:w="2926" w:type="dxa"/>
            <w:tcBorders/>
            <w:vAlign w:val="center"/>
          </w:tcPr>
          <w:p>
            <w:pPr>
              <w:pStyle w:val="TableContents"/>
              <w:bidi w:val="0"/>
              <w:spacing w:before="0" w:after="283"/>
              <w:jc w:val="start"/>
              <w:rPr/>
            </w:pPr>
            <w:r>
              <w:rPr/>
              <w:t xml:space="preserve">OthersTargetMolT1078 </w:t>
            </w:r>
          </w:p>
        </w:tc>
      </w:tr>
      <w:tr>
        <w:trPr/>
        <w:tc>
          <w:tcPr>
            <w:tcW w:w="2926" w:type="dxa"/>
            <w:tcBorders/>
            <w:vAlign w:val="center"/>
          </w:tcPr>
          <w:p>
            <w:pPr>
              <w:pStyle w:val="TableContents"/>
              <w:bidi w:val="0"/>
              <w:spacing w:before="0" w:after="283"/>
              <w:jc w:val="start"/>
              <w:rPr/>
            </w:pPr>
            <w:r>
              <w:rPr/>
              <w:t xml:space="preserve">Sulfadimethoxine is a sulfonamide antibiotic. MedChem Express </w:t>
            </w:r>
          </w:p>
        </w:tc>
      </w:tr>
      <w:tr>
        <w:trPr/>
        <w:tc>
          <w:tcPr>
            <w:tcW w:w="2926" w:type="dxa"/>
            <w:tcBorders/>
            <w:vAlign w:val="center"/>
          </w:tcPr>
          <w:p>
            <w:pPr>
              <w:pStyle w:val="TableContents"/>
              <w:bidi w:val="0"/>
              <w:spacing w:before="0" w:after="283"/>
              <w:jc w:val="start"/>
              <w:rPr/>
            </w:pPr>
            <w:r>
              <w:rPr/>
              <w:t xml:space="preserve">Sulfadimethoxine is a sulfonamide antibiotic.; Target: Antibacterial; Sulfadimethoxine is a sulfonamide antibiotic. MedChem ExpressHY-B0337 </w:t>
            </w:r>
          </w:p>
        </w:tc>
      </w:tr>
      <w:tr>
        <w:trPr/>
        <w:tc>
          <w:tcPr>
            <w:tcW w:w="2926" w:type="dxa"/>
            <w:tcBorders/>
            <w:vAlign w:val="center"/>
          </w:tcPr>
          <w:p>
            <w:pPr>
              <w:pStyle w:val="TableContents"/>
              <w:bidi w:val="0"/>
              <w:spacing w:before="0" w:after="283"/>
              <w:jc w:val="start"/>
              <w:rPr/>
            </w:pPr>
            <w:r>
              <w:rPr/>
              <w:t xml:space="preserve">Sulfadimethoxine is a sulfonamide antibiotic.; Target: AntibacterialSulfadimethoxine is a sulfonamide antibiotic. Sulfadimethoxine is used to treat many infections including treatment of respiratory, urinary tract, enteric, and soft tissue infections. It is most frequently used in veterinary medicine, although it is approved in some countries for use in humans. Sulfadimethoxine inhibits bacterial synthesis of folic acid (pteroylglutamic acid) from para-aminobenzoic acid. Sulfadimethoxine is approved in Russia for use in humans, including children, and has been successfully used there for more than 35 years. It is widely available in Russia as an over-the-counter drug manufactured by a number of Russian pharmaceutical companies [1]. MedChem ExpressHY-B0337 </w:t>
            </w:r>
          </w:p>
        </w:tc>
      </w:tr>
    </w:tbl>
    <w:p>
      <w:pPr>
        <w:pStyle w:val="TextBody"/>
        <w:numPr>
          <w:ilvl w:val="0"/>
          <w:numId w:val="5"/>
        </w:numPr>
        <w:tabs>
          <w:tab w:val="clear" w:pos="1134"/>
          <w:tab w:val="left" w:pos="709" w:leader="none"/>
        </w:tabs>
        <w:bidi w:val="0"/>
        <w:spacing w:before="0" w:after="0"/>
        <w:ind w:start="709" w:hanging="283"/>
        <w:jc w:val="start"/>
        <w:rPr/>
      </w:pPr>
      <w:r>
        <w:rPr/>
        <w:t xml:space="preserve">Gas Chromatography </w:t>
      </w:r>
    </w:p>
    <w:p>
      <w:pPr>
        <w:pStyle w:val="Heading2"/>
        <w:numPr>
          <w:ilvl w:val="1"/>
          <w:numId w:val="5"/>
        </w:numPr>
        <w:tabs>
          <w:tab w:val="clear" w:pos="1134"/>
          <w:tab w:val="left" w:pos="1418" w:leader="none"/>
        </w:tabs>
        <w:bidi w:val="0"/>
        <w:ind w:start="1418" w:hanging="283"/>
        <w:jc w:val="start"/>
        <w:rPr/>
      </w:pPr>
      <w:bookmarkStart w:id="9" w:name="retention-index-kovats"/>
      <w:bookmarkEnd w:id="9"/>
      <w:r>
        <w:rPr/>
        <w:t xml:space="preserve">Retention Index (Kovats):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2750 (estimated with error: 89)NIST Spectramainlib_236954, replib_248693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0" w:name="_acdlabs-table"/>
      <w:bookmarkStart w:id="11" w:name="_acdlabs-table"/>
      <w:bookmarkEnd w:id="10"/>
    </w:p>
    <w:tbl>
      <w:tblPr>
        <w:tblW w:w="5000" w:type="pct"/>
        <w:jc w:val="start"/>
        <w:tblInd w:w="0" w:type="dxa"/>
        <w:tblLayout w:type="fixed"/>
        <w:tblCellMar>
          <w:top w:w="28" w:type="dxa"/>
          <w:start w:w="28" w:type="dxa"/>
          <w:bottom w:w="28" w:type="dxa"/>
          <w:end w:w="28" w:type="dxa"/>
        </w:tblCellMar>
      </w:tblPr>
      <w:tblGrid>
        <w:gridCol w:w="2135"/>
        <w:gridCol w:w="2209"/>
      </w:tblGrid>
      <w:tr>
        <w:trPr/>
        <w:tc>
          <w:tcPr>
            <w:tcW w:w="2135" w:type="dxa"/>
            <w:tcBorders/>
            <w:vAlign w:val="center"/>
          </w:tcPr>
          <w:p>
            <w:pPr>
              <w:pStyle w:val="TableContents"/>
              <w:bidi w:val="0"/>
              <w:spacing w:before="0" w:after="283"/>
              <w:jc w:val="start"/>
              <w:rPr/>
            </w:pPr>
            <w:r>
              <w:rPr/>
              <w:t xml:space="preserve">Density: </w:t>
            </w:r>
          </w:p>
        </w:tc>
        <w:tc>
          <w:tcPr>
            <w:tcW w:w="2209" w:type="dxa"/>
            <w:tcBorders/>
            <w:vAlign w:val="center"/>
          </w:tcPr>
          <w:p>
            <w:pPr>
              <w:pStyle w:val="TableContents"/>
              <w:bidi w:val="0"/>
              <w:spacing w:before="0" w:after="283"/>
              <w:jc w:val="start"/>
              <w:rPr/>
            </w:pPr>
            <w:r>
              <w:rPr/>
              <w:t xml:space="preserve">1. 4±0. 1 g/cm </w:t>
            </w:r>
            <w:r>
              <w:rPr>
                <w:position w:val="8"/>
                <w:sz w:val="19"/>
              </w:rPr>
              <w:t xml:space="preserve">3 </w:t>
            </w:r>
          </w:p>
        </w:tc>
      </w:tr>
      <w:tr>
        <w:trPr/>
        <w:tc>
          <w:tcPr>
            <w:tcW w:w="2135" w:type="dxa"/>
            <w:tcBorders/>
            <w:vAlign w:val="center"/>
          </w:tcPr>
          <w:p>
            <w:pPr>
              <w:pStyle w:val="TableContents"/>
              <w:bidi w:val="0"/>
              <w:spacing w:before="0" w:after="283"/>
              <w:jc w:val="start"/>
              <w:rPr/>
            </w:pPr>
            <w:r>
              <w:rPr/>
              <w:t xml:space="preserve">Boiling Point: </w:t>
            </w:r>
          </w:p>
        </w:tc>
        <w:tc>
          <w:tcPr>
            <w:tcW w:w="2209" w:type="dxa"/>
            <w:tcBorders/>
            <w:vAlign w:val="center"/>
          </w:tcPr>
          <w:p>
            <w:pPr>
              <w:pStyle w:val="TableContents"/>
              <w:bidi w:val="0"/>
              <w:spacing w:before="0" w:after="283"/>
              <w:jc w:val="start"/>
              <w:rPr/>
            </w:pPr>
            <w:r>
              <w:rPr/>
              <w:t xml:space="preserve">548. 5±60. 0 °C at 760 mmHg </w:t>
            </w:r>
          </w:p>
        </w:tc>
      </w:tr>
      <w:tr>
        <w:trPr/>
        <w:tc>
          <w:tcPr>
            <w:tcW w:w="2135" w:type="dxa"/>
            <w:tcBorders/>
            <w:vAlign w:val="center"/>
          </w:tcPr>
          <w:p>
            <w:pPr>
              <w:pStyle w:val="TableContents"/>
              <w:bidi w:val="0"/>
              <w:spacing w:before="0" w:after="283"/>
              <w:jc w:val="start"/>
              <w:rPr/>
            </w:pPr>
            <w:r>
              <w:rPr/>
              <w:t xml:space="preserve">Vapour Pressure: </w:t>
            </w:r>
          </w:p>
        </w:tc>
        <w:tc>
          <w:tcPr>
            <w:tcW w:w="2209" w:type="dxa"/>
            <w:tcBorders/>
            <w:vAlign w:val="center"/>
          </w:tcPr>
          <w:p>
            <w:pPr>
              <w:pStyle w:val="TableContents"/>
              <w:bidi w:val="0"/>
              <w:spacing w:before="0" w:after="283"/>
              <w:jc w:val="start"/>
              <w:rPr/>
            </w:pPr>
            <w:r>
              <w:rPr/>
              <w:t xml:space="preserve">0. 0±1. 5 mmHg at 25°C </w:t>
            </w:r>
          </w:p>
        </w:tc>
      </w:tr>
      <w:tr>
        <w:trPr/>
        <w:tc>
          <w:tcPr>
            <w:tcW w:w="2135" w:type="dxa"/>
            <w:tcBorders/>
            <w:vAlign w:val="center"/>
          </w:tcPr>
          <w:p>
            <w:pPr>
              <w:pStyle w:val="TableContents"/>
              <w:bidi w:val="0"/>
              <w:spacing w:before="0" w:after="283"/>
              <w:jc w:val="start"/>
              <w:rPr/>
            </w:pPr>
            <w:r>
              <w:rPr/>
              <w:t xml:space="preserve">Enthalpy of Vaporization: </w:t>
            </w:r>
          </w:p>
        </w:tc>
        <w:tc>
          <w:tcPr>
            <w:tcW w:w="2209" w:type="dxa"/>
            <w:tcBorders/>
            <w:vAlign w:val="center"/>
          </w:tcPr>
          <w:p>
            <w:pPr>
              <w:pStyle w:val="TableContents"/>
              <w:bidi w:val="0"/>
              <w:spacing w:before="0" w:after="283"/>
              <w:jc w:val="start"/>
              <w:rPr/>
            </w:pPr>
            <w:r>
              <w:rPr/>
              <w:t xml:space="preserve">82. 8±3. 0 kJ/mol </w:t>
            </w:r>
          </w:p>
        </w:tc>
      </w:tr>
      <w:tr>
        <w:trPr/>
        <w:tc>
          <w:tcPr>
            <w:tcW w:w="2135" w:type="dxa"/>
            <w:tcBorders/>
            <w:vAlign w:val="center"/>
          </w:tcPr>
          <w:p>
            <w:pPr>
              <w:pStyle w:val="TableContents"/>
              <w:bidi w:val="0"/>
              <w:spacing w:before="0" w:after="283"/>
              <w:jc w:val="start"/>
              <w:rPr/>
            </w:pPr>
            <w:r>
              <w:rPr/>
              <w:t xml:space="preserve">Flash Point: </w:t>
            </w:r>
          </w:p>
        </w:tc>
        <w:tc>
          <w:tcPr>
            <w:tcW w:w="2209" w:type="dxa"/>
            <w:tcBorders/>
            <w:vAlign w:val="center"/>
          </w:tcPr>
          <w:p>
            <w:pPr>
              <w:pStyle w:val="TableContents"/>
              <w:bidi w:val="0"/>
              <w:spacing w:before="0" w:after="283"/>
              <w:jc w:val="start"/>
              <w:rPr/>
            </w:pPr>
            <w:r>
              <w:rPr/>
              <w:t xml:space="preserve">285. 5±32. 9 °C </w:t>
            </w:r>
          </w:p>
        </w:tc>
      </w:tr>
      <w:tr>
        <w:trPr/>
        <w:tc>
          <w:tcPr>
            <w:tcW w:w="2135" w:type="dxa"/>
            <w:tcBorders/>
            <w:vAlign w:val="center"/>
          </w:tcPr>
          <w:p>
            <w:pPr>
              <w:pStyle w:val="TableContents"/>
              <w:bidi w:val="0"/>
              <w:spacing w:before="0" w:after="283"/>
              <w:jc w:val="start"/>
              <w:rPr/>
            </w:pPr>
            <w:r>
              <w:rPr/>
              <w:t xml:space="preserve">Index of Refraction: </w:t>
            </w:r>
          </w:p>
        </w:tc>
        <w:tc>
          <w:tcPr>
            <w:tcW w:w="2209" w:type="dxa"/>
            <w:tcBorders/>
            <w:vAlign w:val="center"/>
          </w:tcPr>
          <w:p>
            <w:pPr>
              <w:pStyle w:val="TableContents"/>
              <w:bidi w:val="0"/>
              <w:spacing w:before="0" w:after="283"/>
              <w:jc w:val="start"/>
              <w:rPr/>
            </w:pPr>
            <w:r>
              <w:rPr/>
              <w:t xml:space="preserve">1. 623 </w:t>
            </w:r>
          </w:p>
        </w:tc>
      </w:tr>
      <w:tr>
        <w:trPr/>
        <w:tc>
          <w:tcPr>
            <w:tcW w:w="2135" w:type="dxa"/>
            <w:tcBorders/>
            <w:vAlign w:val="center"/>
          </w:tcPr>
          <w:p>
            <w:pPr>
              <w:pStyle w:val="TableContents"/>
              <w:bidi w:val="0"/>
              <w:spacing w:before="0" w:after="283"/>
              <w:jc w:val="start"/>
              <w:rPr/>
            </w:pPr>
            <w:r>
              <w:rPr/>
              <w:t xml:space="preserve">Molar Refractivity: </w:t>
            </w:r>
          </w:p>
        </w:tc>
        <w:tc>
          <w:tcPr>
            <w:tcW w:w="2209" w:type="dxa"/>
            <w:tcBorders/>
            <w:vAlign w:val="center"/>
          </w:tcPr>
          <w:p>
            <w:pPr>
              <w:pStyle w:val="TableContents"/>
              <w:bidi w:val="0"/>
              <w:spacing w:before="0" w:after="283"/>
              <w:jc w:val="start"/>
              <w:rPr/>
            </w:pPr>
            <w:r>
              <w:rPr/>
              <w:t xml:space="preserve">75. 9±0. 4 cm </w:t>
            </w:r>
            <w:r>
              <w:rPr>
                <w:position w:val="8"/>
                <w:sz w:val="19"/>
              </w:rPr>
              <w:t xml:space="preserve">3 </w:t>
            </w:r>
          </w:p>
        </w:tc>
      </w:tr>
      <w:tr>
        <w:trPr/>
        <w:tc>
          <w:tcPr>
            <w:tcW w:w="2135" w:type="dxa"/>
            <w:tcBorders/>
            <w:vAlign w:val="center"/>
          </w:tcPr>
          <w:p>
            <w:pPr>
              <w:pStyle w:val="TableContents"/>
              <w:bidi w:val="0"/>
              <w:spacing w:before="0" w:after="283"/>
              <w:jc w:val="start"/>
              <w:rPr/>
            </w:pPr>
            <w:r>
              <w:rPr/>
              <w:t xml:space="preserve">#H bond acceptors: </w:t>
            </w:r>
          </w:p>
        </w:tc>
        <w:tc>
          <w:tcPr>
            <w:tcW w:w="2209" w:type="dxa"/>
            <w:tcBorders/>
            <w:vAlign w:val="center"/>
          </w:tcPr>
          <w:p>
            <w:pPr>
              <w:pStyle w:val="TableContents"/>
              <w:bidi w:val="0"/>
              <w:spacing w:before="0" w:after="283"/>
              <w:jc w:val="start"/>
              <w:rPr/>
            </w:pPr>
            <w:r>
              <w:rPr/>
              <w:t xml:space="preserve">8 </w:t>
            </w:r>
          </w:p>
        </w:tc>
      </w:tr>
      <w:tr>
        <w:trPr/>
        <w:tc>
          <w:tcPr>
            <w:tcW w:w="2135" w:type="dxa"/>
            <w:tcBorders/>
            <w:vAlign w:val="center"/>
          </w:tcPr>
          <w:p>
            <w:pPr>
              <w:pStyle w:val="TableContents"/>
              <w:bidi w:val="0"/>
              <w:spacing w:before="0" w:after="283"/>
              <w:jc w:val="start"/>
              <w:rPr/>
            </w:pPr>
            <w:r>
              <w:rPr/>
              <w:t xml:space="preserve">#H bond donors: </w:t>
            </w:r>
          </w:p>
        </w:tc>
        <w:tc>
          <w:tcPr>
            <w:tcW w:w="2209" w:type="dxa"/>
            <w:tcBorders/>
            <w:vAlign w:val="center"/>
          </w:tcPr>
          <w:p>
            <w:pPr>
              <w:pStyle w:val="TableContents"/>
              <w:bidi w:val="0"/>
              <w:spacing w:before="0" w:after="283"/>
              <w:jc w:val="start"/>
              <w:rPr/>
            </w:pPr>
            <w:r>
              <w:rPr/>
              <w:t xml:space="preserve">3 </w:t>
            </w:r>
          </w:p>
        </w:tc>
      </w:tr>
      <w:tr>
        <w:trPr/>
        <w:tc>
          <w:tcPr>
            <w:tcW w:w="2135" w:type="dxa"/>
            <w:tcBorders/>
            <w:vAlign w:val="center"/>
          </w:tcPr>
          <w:p>
            <w:pPr>
              <w:pStyle w:val="TableContents"/>
              <w:bidi w:val="0"/>
              <w:spacing w:before="0" w:after="283"/>
              <w:jc w:val="start"/>
              <w:rPr/>
            </w:pPr>
            <w:r>
              <w:rPr/>
              <w:t xml:space="preserve">#Freely Rotating Bonds: </w:t>
            </w:r>
          </w:p>
        </w:tc>
        <w:tc>
          <w:tcPr>
            <w:tcW w:w="2209" w:type="dxa"/>
            <w:tcBorders/>
            <w:vAlign w:val="center"/>
          </w:tcPr>
          <w:p>
            <w:pPr>
              <w:pStyle w:val="TableContents"/>
              <w:bidi w:val="0"/>
              <w:spacing w:before="0" w:after="283"/>
              <w:jc w:val="start"/>
              <w:rPr/>
            </w:pPr>
            <w:r>
              <w:rPr/>
              <w:t xml:space="preserve">5 </w:t>
            </w:r>
          </w:p>
        </w:tc>
      </w:tr>
      <w:tr>
        <w:trPr/>
        <w:tc>
          <w:tcPr>
            <w:tcW w:w="2135" w:type="dxa"/>
            <w:tcBorders/>
            <w:vAlign w:val="center"/>
          </w:tcPr>
          <w:p>
            <w:pPr>
              <w:pStyle w:val="TableContents"/>
              <w:bidi w:val="0"/>
              <w:spacing w:before="0" w:after="283"/>
              <w:jc w:val="start"/>
              <w:rPr/>
            </w:pPr>
            <w:r>
              <w:rPr/>
              <w:t xml:space="preserve">#Rule of 5 Violations: </w:t>
            </w:r>
          </w:p>
        </w:tc>
        <w:tc>
          <w:tcPr>
            <w:tcW w:w="2209"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2221"/>
        <w:gridCol w:w="2123"/>
      </w:tblGrid>
      <w:tr>
        <w:trPr/>
        <w:tc>
          <w:tcPr>
            <w:tcW w:w="2221" w:type="dxa"/>
            <w:tcBorders/>
            <w:vAlign w:val="center"/>
          </w:tcPr>
          <w:p>
            <w:pPr>
              <w:pStyle w:val="TableContents"/>
              <w:bidi w:val="0"/>
              <w:spacing w:before="0" w:after="283"/>
              <w:jc w:val="start"/>
              <w:rPr/>
            </w:pPr>
            <w:r>
              <w:rPr/>
              <w:t xml:space="preserve">ACD/LogP: </w:t>
            </w:r>
          </w:p>
        </w:tc>
        <w:tc>
          <w:tcPr>
            <w:tcW w:w="2123" w:type="dxa"/>
            <w:tcBorders/>
            <w:vAlign w:val="center"/>
          </w:tcPr>
          <w:p>
            <w:pPr>
              <w:pStyle w:val="TableContents"/>
              <w:bidi w:val="0"/>
              <w:spacing w:before="0" w:after="283"/>
              <w:jc w:val="start"/>
              <w:rPr/>
            </w:pPr>
            <w:r>
              <w:rPr/>
              <w:t xml:space="preserve">1. 48 </w:t>
            </w:r>
          </w:p>
        </w:tc>
      </w:tr>
      <w:tr>
        <w:trPr/>
        <w:tc>
          <w:tcPr>
            <w:tcW w:w="2221" w:type="dxa"/>
            <w:tcBorders/>
            <w:vAlign w:val="center"/>
          </w:tcPr>
          <w:p>
            <w:pPr>
              <w:pStyle w:val="TableContents"/>
              <w:bidi w:val="0"/>
              <w:spacing w:before="0" w:after="283"/>
              <w:jc w:val="start"/>
              <w:rPr/>
            </w:pPr>
            <w:r>
              <w:rPr/>
              <w:t xml:space="preserve">ACD/LogD (pH 5. 5): </w:t>
            </w:r>
          </w:p>
        </w:tc>
        <w:tc>
          <w:tcPr>
            <w:tcW w:w="2123" w:type="dxa"/>
            <w:tcBorders/>
            <w:vAlign w:val="center"/>
          </w:tcPr>
          <w:p>
            <w:pPr>
              <w:pStyle w:val="TableContents"/>
              <w:bidi w:val="0"/>
              <w:spacing w:before="0" w:after="283"/>
              <w:jc w:val="start"/>
              <w:rPr/>
            </w:pPr>
            <w:r>
              <w:rPr/>
              <w:t xml:space="preserve">0. 43 </w:t>
            </w:r>
          </w:p>
        </w:tc>
      </w:tr>
      <w:tr>
        <w:trPr/>
        <w:tc>
          <w:tcPr>
            <w:tcW w:w="2221" w:type="dxa"/>
            <w:tcBorders/>
            <w:vAlign w:val="center"/>
          </w:tcPr>
          <w:p>
            <w:pPr>
              <w:pStyle w:val="TableContents"/>
              <w:bidi w:val="0"/>
              <w:spacing w:before="0" w:after="283"/>
              <w:jc w:val="start"/>
              <w:rPr/>
            </w:pPr>
            <w:r>
              <w:rPr/>
              <w:t xml:space="preserve">ACD/BCF (pH 5. 5): </w:t>
            </w:r>
          </w:p>
        </w:tc>
        <w:tc>
          <w:tcPr>
            <w:tcW w:w="2123" w:type="dxa"/>
            <w:tcBorders/>
            <w:vAlign w:val="center"/>
          </w:tcPr>
          <w:p>
            <w:pPr>
              <w:pStyle w:val="TableContents"/>
              <w:bidi w:val="0"/>
              <w:spacing w:before="0" w:after="283"/>
              <w:jc w:val="start"/>
              <w:rPr/>
            </w:pPr>
            <w:r>
              <w:rPr/>
              <w:t xml:space="preserve">1. 00 </w:t>
            </w:r>
          </w:p>
        </w:tc>
      </w:tr>
      <w:tr>
        <w:trPr/>
        <w:tc>
          <w:tcPr>
            <w:tcW w:w="2221" w:type="dxa"/>
            <w:tcBorders/>
            <w:vAlign w:val="center"/>
          </w:tcPr>
          <w:p>
            <w:pPr>
              <w:pStyle w:val="TableContents"/>
              <w:bidi w:val="0"/>
              <w:spacing w:before="0" w:after="283"/>
              <w:jc w:val="start"/>
              <w:rPr/>
            </w:pPr>
            <w:r>
              <w:rPr/>
              <w:t xml:space="preserve">ACD/KOC (pH 5. 5): </w:t>
            </w:r>
          </w:p>
        </w:tc>
        <w:tc>
          <w:tcPr>
            <w:tcW w:w="2123" w:type="dxa"/>
            <w:tcBorders/>
            <w:vAlign w:val="center"/>
          </w:tcPr>
          <w:p>
            <w:pPr>
              <w:pStyle w:val="TableContents"/>
              <w:bidi w:val="0"/>
              <w:spacing w:before="0" w:after="283"/>
              <w:jc w:val="start"/>
              <w:rPr/>
            </w:pPr>
            <w:r>
              <w:rPr/>
              <w:t xml:space="preserve">13. 76 </w:t>
            </w:r>
          </w:p>
        </w:tc>
      </w:tr>
      <w:tr>
        <w:trPr/>
        <w:tc>
          <w:tcPr>
            <w:tcW w:w="2221" w:type="dxa"/>
            <w:tcBorders/>
            <w:vAlign w:val="center"/>
          </w:tcPr>
          <w:p>
            <w:pPr>
              <w:pStyle w:val="TableContents"/>
              <w:bidi w:val="0"/>
              <w:spacing w:before="0" w:after="283"/>
              <w:jc w:val="start"/>
              <w:rPr/>
            </w:pPr>
            <w:r>
              <w:rPr/>
              <w:t xml:space="preserve">ACD/LogD (pH 7. 4): </w:t>
            </w:r>
          </w:p>
        </w:tc>
        <w:tc>
          <w:tcPr>
            <w:tcW w:w="2123" w:type="dxa"/>
            <w:tcBorders/>
            <w:vAlign w:val="center"/>
          </w:tcPr>
          <w:p>
            <w:pPr>
              <w:pStyle w:val="TableContents"/>
              <w:bidi w:val="0"/>
              <w:spacing w:before="0" w:after="283"/>
              <w:jc w:val="start"/>
              <w:rPr/>
            </w:pPr>
            <w:r>
              <w:rPr/>
              <w:t xml:space="preserve">-0. 49 </w:t>
            </w:r>
          </w:p>
        </w:tc>
      </w:tr>
      <w:tr>
        <w:trPr/>
        <w:tc>
          <w:tcPr>
            <w:tcW w:w="2221" w:type="dxa"/>
            <w:tcBorders/>
            <w:vAlign w:val="center"/>
          </w:tcPr>
          <w:p>
            <w:pPr>
              <w:pStyle w:val="TableContents"/>
              <w:bidi w:val="0"/>
              <w:spacing w:before="0" w:after="283"/>
              <w:jc w:val="start"/>
              <w:rPr/>
            </w:pPr>
            <w:r>
              <w:rPr/>
              <w:t xml:space="preserve">ACD/BCF (pH 7. 4): </w:t>
            </w:r>
          </w:p>
        </w:tc>
        <w:tc>
          <w:tcPr>
            <w:tcW w:w="2123" w:type="dxa"/>
            <w:tcBorders/>
            <w:vAlign w:val="center"/>
          </w:tcPr>
          <w:p>
            <w:pPr>
              <w:pStyle w:val="TableContents"/>
              <w:bidi w:val="0"/>
              <w:spacing w:before="0" w:after="283"/>
              <w:jc w:val="start"/>
              <w:rPr/>
            </w:pPr>
            <w:r>
              <w:rPr/>
              <w:t xml:space="preserve">1. 00 </w:t>
            </w:r>
          </w:p>
        </w:tc>
      </w:tr>
      <w:tr>
        <w:trPr/>
        <w:tc>
          <w:tcPr>
            <w:tcW w:w="2221" w:type="dxa"/>
            <w:tcBorders/>
            <w:vAlign w:val="center"/>
          </w:tcPr>
          <w:p>
            <w:pPr>
              <w:pStyle w:val="TableContents"/>
              <w:bidi w:val="0"/>
              <w:spacing w:before="0" w:after="283"/>
              <w:jc w:val="start"/>
              <w:rPr/>
            </w:pPr>
            <w:r>
              <w:rPr/>
              <w:t xml:space="preserve">ACD/KOC (pH 7. 4): </w:t>
            </w:r>
          </w:p>
        </w:tc>
        <w:tc>
          <w:tcPr>
            <w:tcW w:w="2123" w:type="dxa"/>
            <w:tcBorders/>
            <w:vAlign w:val="center"/>
          </w:tcPr>
          <w:p>
            <w:pPr>
              <w:pStyle w:val="TableContents"/>
              <w:bidi w:val="0"/>
              <w:spacing w:before="0" w:after="283"/>
              <w:jc w:val="start"/>
              <w:rPr/>
            </w:pPr>
            <w:r>
              <w:rPr/>
              <w:t xml:space="preserve">1. 66 </w:t>
            </w:r>
          </w:p>
        </w:tc>
      </w:tr>
      <w:tr>
        <w:trPr/>
        <w:tc>
          <w:tcPr>
            <w:tcW w:w="2221" w:type="dxa"/>
            <w:tcBorders/>
            <w:vAlign w:val="center"/>
          </w:tcPr>
          <w:p>
            <w:pPr>
              <w:pStyle w:val="TableContents"/>
              <w:bidi w:val="0"/>
              <w:spacing w:before="0" w:after="283"/>
              <w:jc w:val="start"/>
              <w:rPr/>
            </w:pPr>
            <w:r>
              <w:rPr/>
              <w:t xml:space="preserve">Polar Surface Area: </w:t>
            </w:r>
          </w:p>
        </w:tc>
        <w:tc>
          <w:tcPr>
            <w:tcW w:w="2123" w:type="dxa"/>
            <w:tcBorders/>
            <w:vAlign w:val="center"/>
          </w:tcPr>
          <w:p>
            <w:pPr>
              <w:pStyle w:val="TableContents"/>
              <w:bidi w:val="0"/>
              <w:spacing w:before="0" w:after="283"/>
              <w:jc w:val="start"/>
              <w:rPr/>
            </w:pPr>
            <w:r>
              <w:rPr/>
              <w:t xml:space="preserve">125 Å </w:t>
            </w:r>
            <w:r>
              <w:rPr>
                <w:position w:val="8"/>
                <w:sz w:val="19"/>
              </w:rPr>
              <w:t xml:space="preserve">2 </w:t>
            </w:r>
          </w:p>
        </w:tc>
      </w:tr>
      <w:tr>
        <w:trPr/>
        <w:tc>
          <w:tcPr>
            <w:tcW w:w="2221" w:type="dxa"/>
            <w:tcBorders/>
            <w:vAlign w:val="center"/>
          </w:tcPr>
          <w:p>
            <w:pPr>
              <w:pStyle w:val="TableContents"/>
              <w:bidi w:val="0"/>
              <w:spacing w:before="0" w:after="283"/>
              <w:jc w:val="start"/>
              <w:rPr/>
            </w:pPr>
            <w:r>
              <w:rPr/>
              <w:t xml:space="preserve">Polarizability: </w:t>
            </w:r>
          </w:p>
        </w:tc>
        <w:tc>
          <w:tcPr>
            <w:tcW w:w="2123" w:type="dxa"/>
            <w:tcBorders/>
            <w:vAlign w:val="center"/>
          </w:tcPr>
          <w:p>
            <w:pPr>
              <w:pStyle w:val="TableContents"/>
              <w:bidi w:val="0"/>
              <w:spacing w:before="0" w:after="283"/>
              <w:jc w:val="start"/>
              <w:rPr/>
            </w:pPr>
            <w:r>
              <w:rPr/>
              <w:t xml:space="preserve">30. 1±0. 5 10 </w:t>
            </w:r>
            <w:r>
              <w:rPr>
                <w:position w:val="8"/>
                <w:sz w:val="19"/>
              </w:rPr>
              <w:t xml:space="preserve">-24 </w:t>
            </w:r>
            <w:r>
              <w:rPr/>
              <w:t xml:space="preserve">cm </w:t>
            </w:r>
            <w:r>
              <w:rPr>
                <w:position w:val="8"/>
                <w:sz w:val="19"/>
              </w:rPr>
              <w:t xml:space="preserve">3 </w:t>
            </w:r>
          </w:p>
        </w:tc>
      </w:tr>
      <w:tr>
        <w:trPr/>
        <w:tc>
          <w:tcPr>
            <w:tcW w:w="2221" w:type="dxa"/>
            <w:tcBorders/>
            <w:vAlign w:val="center"/>
          </w:tcPr>
          <w:p>
            <w:pPr>
              <w:pStyle w:val="TableContents"/>
              <w:bidi w:val="0"/>
              <w:spacing w:before="0" w:after="283"/>
              <w:jc w:val="start"/>
              <w:rPr/>
            </w:pPr>
            <w:r>
              <w:rPr/>
              <w:t xml:space="preserve">Surface Tension: </w:t>
            </w:r>
          </w:p>
        </w:tc>
        <w:tc>
          <w:tcPr>
            <w:tcW w:w="2123" w:type="dxa"/>
            <w:tcBorders/>
            <w:vAlign w:val="center"/>
          </w:tcPr>
          <w:p>
            <w:pPr>
              <w:pStyle w:val="TableContents"/>
              <w:bidi w:val="0"/>
              <w:spacing w:before="0" w:after="283"/>
              <w:jc w:val="start"/>
              <w:rPr/>
            </w:pPr>
            <w:r>
              <w:rPr/>
              <w:t xml:space="preserve">69. 5±3. 0 dyne/cm </w:t>
            </w:r>
          </w:p>
        </w:tc>
      </w:tr>
      <w:tr>
        <w:trPr/>
        <w:tc>
          <w:tcPr>
            <w:tcW w:w="2221" w:type="dxa"/>
            <w:tcBorders/>
            <w:vAlign w:val="center"/>
          </w:tcPr>
          <w:p>
            <w:pPr>
              <w:pStyle w:val="TableContents"/>
              <w:bidi w:val="0"/>
              <w:spacing w:before="0" w:after="283"/>
              <w:jc w:val="start"/>
              <w:rPr/>
            </w:pPr>
            <w:r>
              <w:rPr/>
              <w:t xml:space="preserve">Molar Volume: </w:t>
            </w:r>
          </w:p>
        </w:tc>
        <w:tc>
          <w:tcPr>
            <w:tcW w:w="2123" w:type="dxa"/>
            <w:tcBorders/>
            <w:vAlign w:val="center"/>
          </w:tcPr>
          <w:p>
            <w:pPr>
              <w:pStyle w:val="TableContents"/>
              <w:bidi w:val="0"/>
              <w:spacing w:before="0" w:after="283"/>
              <w:jc w:val="start"/>
              <w:rPr/>
            </w:pPr>
            <w:r>
              <w:rPr/>
              <w:t xml:space="preserve">215. 3±3.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1. 17Log Kow (Exper. database match) = 1. 63Exper. Ref: Hansch, C et al. (1995)Boiling Pt, Melting Pt, Vapor Pressure Estimations (MPBPWIN v1. 42): Boiling Pt (deg C): 475. 30 (Adapted Stein &amp; Brown method)Melting Pt (deg C): 201. 06 (Mean or Weighted MP)VP(mm Hg, 25 deg C): 1. 49E-009 (Modified Grain method)MP (exp database): 203. 5 deg CSubcooled liquid VP: 1. 15E-007 mm Hg (25 deg C, Mod-Grain method)Water Solubility Estimate from Log Kow (WSKOW v1. 41): Water Solubility at 25 deg C (mg/L): 433. 1log Kow used: 1. 63 (expkow database)no-melting pt equation usedWater Sol (Exper. database match) = 343 mg/L ( deg C)Exper. Ref: YALKOWSKY, SH &amp; DANNENFELSER, RM (1992)Water Sol Estimate from Fragments: Wat Sol (v1. 01 est) = 3930. 6 mg/LWat Sol (Exper. database match) = 343. 00Exper. Ref: YALKOWSKY, SH &amp; DANNENFELSER, RM (1992)ECOSAR Class Program (ECOSAR v0. 99h): Class(es) found: Aromatic AminesHenrys Law Constant (25 deg C) [HENRYWIN v3. 10]: Bond Method : 1. 30E-014 atm-m3/moleGroup Method: IncompleteHenrys LC [VP/WSol estimate using EPI values]: 1. 405E-012 atm-m3/moleLog Octanol-Air Partition Coefficient (25 deg C) [KOAWIN v1. 10]: Log Kow used: 1. 63 (exp database)Log Kaw used: -12. 275 (HenryWin est)Log Koa (KOAWIN v1. 10 estimate): 13. 905Log Koa (experimental database): NoneProbability of Rapid Biodegradation (BIOWIN v4. 10): Biowin1 (Linear Model) : 0. 6299Biowin2 (Non-Linear Model) : 0. 7670Expert Survey Biodegradation Results: Biowin3 (Ultimate Survey Model): 2. 2622 (weeks-months)Biowin4 (Primary Survey Model) : 3. 4459 (days-weeks )MITI Biodegradation Probability: Biowin5 (MITI Linear Model) : 0. 0636Biowin6 (MITI Non-Linear Model): 0. 0124Anaerobic Biodegradation Probability: Biowin7 (Anaerobic Linear Model): 0. 2780Ready Biodegradability Prediction: NOHydrocarbon Biodegradation (BioHCwin v1. 01): Structure incompatible with current estimation method! Sorption to aerosols (25 Dec C)[AEROWIN v1. 00]: Vapor pressure (liquid/subcooled): 1. 53E-005 Pa (1. 15E-007 mm Hg)Log Koa (Koawin est ): 13. 905Kp (particle/gas partition coef. (m3/ug)): Mackay model : 0. 196 Octanol/air (Koa) model: 19. 7 Fraction sorbed to airborne particulates (phi): Junge-Pankow model : 0. 876 Mackay model : 0. 94 Octanol/air (Koa) model: 0. 999 Atmospheric Oxidation (25 deg C) [AopWin v1. 92]: Hydroxyl Radicals Reaction: OVERALL OH Rate Constant = 201. 6592 E-12 cm3/molecule-secHalf-Life = 0. 053 Days (12-hr day; 1. 5E6 OH/cm3)Half-Life = 0. 636 HrsOzone Reaction: No Ozone Reaction EstimationFraction sorbed to airborne particulates (phi): 0. 908 (Junge, Mackay)Note: the sorbed fraction may be resistant to atmospheric oxidationSoil Adsorption Coefficient (PCKOCWIN v1. 66): Koc : 95. 73Log Koc: 1. 981 Aqueous Base/Acid-Catalyzed Hydrolysis (25 deg C) [HYDROWIN v1. 67]: Rate constants can NOT be estimated for this structure! Bioaccumulation Estimates from Log Kow (BCFWIN v2. 17): Log BCF from regression-based method = 0. 555 (BCF = 3. 59)log Kow used: 1. 63 (expkow database)Volatilization from Water: Henry LC: 1. 3E-014 atm-m3/mole (estimated by Bond SAR Method)Half-Life from Model River: 7. 934E+010 hours (3. 306E+009 days)Half-Life from Model Lake : 8. 655E+011 hours (3. 606E+010 days)Removal In Wastewater Treatment: Total removal: 2. 02 percentTotal biodegradation: 0. 09 percentTotal sludge adsorption: 1. 92 percentTotal to Air: 0. 00 percent(using 10000 hr Bio P, A, S)Level III Fugacity Model: Mass Amount Half-Life Emissions(percent) (hr) (kg/hr)Air 1. 71e-006 1. 27 1000 Water 30. 3 900 1000 Soil 69. 6 1. 8e+003 1000 Sediment 0. 0831 8. 1e+003 0 Persistence Time: 1. 24e+003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p>
      <w:pPr>
        <w:pStyle w:val="TextBody"/>
        <w:numPr>
          <w:ilvl w:val="0"/>
          <w:numId w:val="6"/>
        </w:numPr>
        <w:tabs>
          <w:tab w:val="clear" w:pos="1134"/>
          <w:tab w:val="left" w:pos="709" w:leader="none"/>
        </w:tabs>
        <w:bidi w:val="0"/>
        <w:spacing w:before="0" w:after="0"/>
        <w:ind w:start="709" w:hanging="283"/>
        <w:jc w:val="start"/>
        <w:rPr/>
      </w:pPr>
      <w:r>
        <w:rPr/>
        <w:t xml:space="preserve">1-Click Docking </w:t>
      </w:r>
    </w:p>
    <w:p>
      <w:pPr>
        <w:pStyle w:val="TextBody"/>
        <w:numPr>
          <w:ilvl w:val="0"/>
          <w:numId w:val="6"/>
        </w:numPr>
        <w:tabs>
          <w:tab w:val="clear" w:pos="1134"/>
          <w:tab w:val="left" w:pos="709" w:leader="none"/>
        </w:tabs>
        <w:bidi w:val="0"/>
        <w:spacing w:before="0" w:after="283"/>
        <w:ind w:start="709" w:hanging="283"/>
        <w:jc w:val="start"/>
        <w:rPr/>
      </w:pPr>
      <w:r>
        <w:rPr/>
        <w:t xml:space="preserve">1-Click Scaffold 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https://assignbuster.com/sulfadimethoxine-c12h14n4o4s-structure/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Sulfadimethoxine c12h14n4o4s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lfadimethoxine-c12h14n4o4s-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Sulfadimethoxine c12h14n4o4s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Sulfadimethoxine c12h14n4o4s structure</dc:title>
  <dc:subject>Others;</dc:subject>
  <dc:creator>AssignBuster</dc:creator>
  <cp:keywords/>
  <dc:description>4 cm 3 Polarizability 30.1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