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Cadbury schweppes plc</w:t>
        </w:r>
      </w:hyperlink>
      <w:bookmarkEnd w:id="0"/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Cadbury Schweppes plc is a confectionery and non-alcoholic beverage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Company’s products include brands, such as such as Cadbury, Schweppes, Halls,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Trident, Dr Pepper, Snapple, Trebor, Dentyne, Bubblicious and Bassett. Cadbury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Schweppes operates in five segments: Britain, Ireland, Middle East and Africa (BIMA),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Europe, Americas Confectionery, Asia Pacific and Americas Beverages. Americas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Confectionery, BIMA and Europe produce and distribute confectionery products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 geographical markets. (Google Finance, 2008). The Asia Pacific segment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produces and distributes confectionery and beverages products in the Asia Pacific region.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Americas Beverages market, produce and distribute branded soft drinks in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America. During the year ended December 31, 2007, the Company acquired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confectionery businesses in Romania (Kandia-Excelent), Japan (Sansei Foods)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 (Intergum). (Google Finance, 2008)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Rio Tinto plc and Rio Tinto Limited operate as one business organization (Rio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Tinto). Rio Tinto is an international mining company. The Company’s business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finding, mining and processing mineral resources. (Google Finance, 2008). Its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are aluminum, copper, diamonds, coal, uranium, gold, industrial minerals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(borax, titanium dioxide, salt, talc), and iron ore. Businesses include open pit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underground mines, mills, refineries and smelters, as well as a number of research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facilities. On October 23, 2007, Rio Tinto acquired Alcan Inc. (Google Finance,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companies have operations that span across national boundaries,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term liabilities. This indicates that they face both exchange rate and interest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risks. This paper is aimed at looking at the different exchange rate and interest rate risks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these companies face, the risk management policies, the instruments used in hedging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risks and the implications of these risk and risk management strategies to investors.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said this, the paper will now go on to discuss the different types of risks. </w:t>
      </w:r>
    </w:p>
    <w:p>
      <w:pPr>
        <w:pStyle w:val="Heading3"/>
        <w:bidi w:val="0"/>
        <w:jc w:val="start"/>
        <w:rPr/>
      </w:pPr>
      <w:r>
        <w:rPr/>
        <w:t xml:space="preserve">Currency Risk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exposure refers to the risk of financial loss that a company suffers as a result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or fluctuations in interest rates. The financial loss may come as a result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in the value of cash flows or as a result of changes in the recorded value of assets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liabilities of the company. There are three main types of exposure that a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face. These include (Shapiro, 2003):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Translation exposure;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Transaction exposure; and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Economic Exposure. </w:t>
      </w:r>
    </w:p>
    <w:p>
      <w:pPr>
        <w:pStyle w:val="TextBody"/>
        <w:bidi w:val="0"/>
        <w:jc w:val="start"/>
        <w:rPr/>
      </w:pPr>
      <w:r>
        <w:rPr/>
        <w:t xml:space="preserve">Translation exposure is the exposure a firm faces because of its assets and liabilities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denominated in foreign currency. It is the exposure that is basically faced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multinational companies that have subsidiaries in many other countries. Translation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exposure has no major effect on value of the firm because it affects only balance sheet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income statement items that are denominated in a foreign currency.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 exposure is the exposure a firm faces as a result of its contractual obligations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are denominated in a foreign currency. It represents the exposure a company faces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result of its contractual obligations that have already been booked but that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settled at a future date (Shapiro, 2003). These include for example, repayment of loans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denominated in overseas currencies, purchases from overseas companies and dividends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overseas subsidiaries.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exposure otherwise referred to as operating exposure is a measure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in the present value of the firm which occurs as a result of fluctuations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exchange rates. Economic exposure encompasses transaction exposure but it is far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extensive in that it includes the future operations and transactions of the firm that are yet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booked. For example, a company that sources inputs from another country faces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exposure given that prices of inputs may increase in future if the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happens to appreciate against the domestic currency. This is so because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currency appreciates against the domestic currency in future, it will have to pay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in terms of the domestic currency for the same quantity of inputs than it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pays at the current exchange rate. </w:t>
      </w:r>
    </w:p>
    <w:p>
      <w:pPr>
        <w:pStyle w:val="Heading3"/>
        <w:bidi w:val="0"/>
        <w:jc w:val="start"/>
        <w:rPr/>
      </w:pPr>
      <w:r>
        <w:rPr/>
        <w:t xml:space="preserve">Currency Risk Faced by Cadbury Schweppes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Cadbury Schweppes faces two main types of risks. These include transaction exposure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translation exposure. The company faces translation exposure because it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subsidiaries in many different countries. Its main translation exposure comes as a result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 presence in the USA. (Cadbury Schweppes Annual Report, 2007).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has both floating rate and fixed rate debt denominated in foreign currency.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Appendix 1 shows the impact on the income statement of the company of a 10%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weakening of the GBP against other currencies. It can be observed from appendix 1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GBP depreciates against other currencies by 10%, its cash and cash equivalents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by £36million, borrowings will increase by £351million and currency exchange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contracts (including embedded derivatives will increase by £2million.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has debt denominated in foreign currency. For example, as at 2007, the company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bank loans denominated in foreign currency to the tune of £770million for floating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debt. It also had floating rate debt in foreign currency including 4. 9% Canadian dollar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(CAD) notes due in 2008 to the tune of £142million, it had 3. 875 US dollar (USD) 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tune of £502million due in 2008. It had 4. 25% Euro (EUR) notes to the tune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£440million due in 2009 as well as 5. 125 USD notes to the tune of £501million due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2013. All these debt contractual obligations in foreign currency represent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 exposure faced by Cadbury Schweppes since fluctuations in the values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currency may affect the cash flows of interest and principal repayments in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periods. </w:t>
      </w:r>
    </w:p>
    <w:p>
      <w:pPr>
        <w:pStyle w:val="Heading3"/>
        <w:bidi w:val="0"/>
        <w:jc w:val="start"/>
        <w:rPr/>
      </w:pPr>
      <w:r>
        <w:rPr/>
        <w:t xml:space="preserve">Currency Risk Faced by Rio Tinto Plc.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Rio Tinto Plc has activities that span the world especially in Australia, North America,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Africa, Asia, Europe and Africa. Consequently, it faces significant exposure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risk. Like Cadbury Schweppes, Rio Tinto Plc is basically affected by all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foreign exchange exposure: translation exposure, transaction exposure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exposure. As concerns translation exposure, the company has a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subsidiaries and must translate the various income statement, balance sheet and cash flow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items to the US dollar on each balance sheet date. These translations result to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exchange gains and losses. Translation exposure is a measure of the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exchange losses when it is translating its foreign currency items into the US dollar.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 to the translation exposure that results from translating financial statement items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subsidiaries, Rio Tinto also faces translation exposure with respect to its other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currency-denominated assets and liabilities. Rio Tinto faces transaction exposure in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contracts with cash flows that are denominated in foreign currencies. Its transaction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exposure comes as a result of the fact that these changes in these exchange rates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to lower cash inflows from receivables that will be settled at a future date, as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higher cash outflows for financial obligations such as interest and principal repayments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will be settled at a future date. Rio Tinto Plc faces economic or operating exposure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some of its inputs are sourced from different parts of the world. Movements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currency value of the currencies of these countries may greatly affect Rio Tinto’s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 of inputs. The main currencies that affect Rio Tinto in terms of translation,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 and economic exposure are the Australian dollar, The US Dollar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Euro. (Rio Tinto Plc Annual Report, 2007). Appendix 3 shows the average exchange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US dollar and the major currencies that Rio Tinto interacts with.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include, the Australian dollar, the Canadian dollar, the Euro, the New Zealand Dollar,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African rand and the UK pound Sterling. The appendix also shows the effect on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underlying earnings of a change in the average exchange rate of any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currencies and the US dollar. It can be observed that a 10% change in the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Australian dollar/US dollar exchange rates results into a US$494million increase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 in net and underlying earnings; A 10 change in the US dollar/Canadian dollar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exchange rate results into a US$203million increase or decrease in net and underlying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earnings; a US$65million loss is anticipated for a 10% change in the average exchange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between the US dollar and the Euro; a 10% change in the average US$/South 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rand exchange rate results into a US$55million increase or decrease in net and underlying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earnings; whereas a 10% change in the UK pound sterling/ US$ exchange rate results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US$24million increase or decrease in net and underlying earnings. (Rio Tinto Plc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Report, 2007). Minimal changes are observed for a 10% change in the US$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/Chilean peso and the US$ /New Zealand dollar average exchange rates, that 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US$12million and US$17million respectively. </w:t>
      </w:r>
    </w:p>
    <w:p>
      <w:pPr>
        <w:pStyle w:val="Heading3"/>
        <w:bidi w:val="0"/>
        <w:jc w:val="start"/>
        <w:rPr/>
      </w:pPr>
      <w:r>
        <w:rPr/>
        <w:t xml:space="preserve">Interest Rate Risks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 risks is the risk that the value of an investment will change as a result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in the absolute level of interest rates, the spread between two rates, the shape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yield curve or in any other interest rate relationship. Bond prices are more affected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 risk than other securities such as stocks. Interest rates are inversely related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value of a bond, that is, when interest rates rise, the value of the bond falls and 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versa. This is because as the interest rates increase, the opportunity cost of holding a bond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decreases since investors are able to realize greater yields by switching to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investments that reflect the higher interest rate. For example consider a bond that pays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5% interest. This bond will be worth more if interest rates fall, since the bondholder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receiving fixed rate of return relative to the market, that offers a lower rate of return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result of the fall in interest rates.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 risk measures the sensitivity of a firm’s cash flows, profit and firm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to interest rate fluctuations. In addition to the interest risk that a company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 as a result of changes in its cash flows, profit and firm value. Buckley (1996)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identifies two other types of interest rate risk, which include basis risk and Gap risk.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interest rates are determined on a different basis for assets and liabilities then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 having loans and debts will face basis risk. A company faces basis risk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rates on its loans and debts are determined using different basis. (Buckley, 1996)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Assume for example that Kaufman &amp; Connelly Plc issues a fixed rate bond to fund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financing needs and at the same time gives out a loan to another party at a floating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rate. Her interest payments will therefore be fixed while interest receipts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 and will depend on prevailing rates. She will therefore be facing basis risk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interest expenses and revenues will be determined on different basis.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company faces gap risk when it has both fixed rate liabilities and assets.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fixed rate liabilities exceed fixed rate assets then there is positive Gap, with a positive gap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rise in short term rates increases margins while declining rates decrease margins.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contrary if fixed rate liabilities are less than fixed rate assets, then there is negative gap.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case a rise in short-term rates decreases margins while a decrease increases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margins.(Buckley, 1996). </w:t>
      </w:r>
    </w:p>
    <w:p>
      <w:pPr>
        <w:pStyle w:val="Heading3"/>
        <w:bidi w:val="0"/>
        <w:jc w:val="start"/>
        <w:rPr/>
      </w:pPr>
      <w:r>
        <w:rPr/>
        <w:t xml:space="preserve">Interest rate risk faced by Cadbury Schweppes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Cadbury Scwheppes has debt obligations. It has both fixed and floating rate debt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entail interest rate risk. Fixed rate debt entails interest rate risk in that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rates fall, the company will continue paying interest rates at the higher rates.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Floating rate debt does not carry high interest rate risk as the rates will be adjusted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rates change. </w:t>
      </w:r>
    </w:p>
    <w:p>
      <w:pPr>
        <w:pStyle w:val="Heading3"/>
        <w:bidi w:val="0"/>
        <w:jc w:val="start"/>
        <w:rPr/>
      </w:pPr>
      <w:r>
        <w:rPr/>
        <w:t xml:space="preserve">Interest Rate Risks Faced by Rio Tinto.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Cadbury Schweppes, Rio Tinto Plc has both floating rate and fixed rate debt.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faces interest rate risk with respect to the fixed rate debt in that changes in interest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affect the cash flows with respect to interest payments. For example, it will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paying higher interest rates on its fixed rate debt when irrespective of a fall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interest rates. </w:t>
      </w:r>
    </w:p>
    <w:p>
      <w:pPr>
        <w:pStyle w:val="Heading3"/>
        <w:bidi w:val="0"/>
        <w:jc w:val="start"/>
        <w:rPr/>
      </w:pPr>
      <w:r>
        <w:rPr/>
        <w:t xml:space="preserve">How Cadbury Schweppes and Rio Tinto Manage Their Currency and Interest </w:t>
      </w:r>
    </w:p>
    <w:p>
      <w:pPr>
        <w:pStyle w:val="Heading3"/>
        <w:bidi w:val="0"/>
        <w:jc w:val="start"/>
        <w:rPr/>
      </w:pPr>
      <w:r>
        <w:rPr/>
        <w:t xml:space="preserve">Rate Risks. </w:t>
      </w:r>
    </w:p>
    <w:p>
      <w:pPr>
        <w:pStyle w:val="Heading3"/>
        <w:bidi w:val="0"/>
        <w:jc w:val="start"/>
        <w:rPr/>
      </w:pPr>
      <w:r>
        <w:rPr/>
        <w:t xml:space="preserve">Cadbury Schweppes’ Currency Risk Management Policies.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Cadbury Schweppes does not hedge against translation exposure because the benefits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hedging this exposure are temporal in nature. It seeks to establish an equal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opposite relationship between the borrowing structure and the trading cash flows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in servicing interest and principal repayments. It also seeks to maintain broadly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 fixed charge cover ratios for each currency bloc and ensures that the ratio for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does not go below by two times in any calendar year. (Cadbury Schweppes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Report and Accounts, 2007). The group achieves this by borrowing in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currencies, as well as through the use of hedging instruments such as swaps. The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manages is transaction exposure which arises from its international trade by entering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forward contracts for all forecasted receipts and payments for as far ahead as the pricing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structures are committed. The forward forex market therefore plays a significant role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exchange risk management structure of the group. Despite foreign exchange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restrictions and controls, which affect certain subsidiaries remission of funds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headquarters, the group believes that these restrictions do not have a material impact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operations as a whole. (Cadbury Schweppes Annual Report and Accounts, 2007). </w:t>
      </w:r>
    </w:p>
    <w:p>
      <w:pPr>
        <w:pStyle w:val="Heading3"/>
        <w:bidi w:val="0"/>
        <w:jc w:val="start"/>
        <w:rPr/>
      </w:pPr>
      <w:r>
        <w:rPr/>
        <w:t xml:space="preserve">Rio Tinto’s Currency Risk Management Policies.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US dollar dominates most of the affairs of the group, its consolidated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are presented in US dollar terms. Most of the borrowings as well as surplus cash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denominated in US dollars. The group also maintains a major portion of its cash in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currencies most notably the Australian dollar, the Euro and the Canadian dollar since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has major operations in Australia, Canada and Europe. Most of its operations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financed in US dollars directly or through the use of cross currency interest rate swaps.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subsidiaries maintain the US dollar as the functional currency. This helps to reduce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translation exposure of the group as the need for translation of the subsidiary’s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statements to US dollars is eliminated completely. Rio Tinto does not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active currency hedging of transactions will result in long term benefits to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shareholders. Currency hedging measures and therefore carried out only in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 and are subject to strict limits laid down by the Rio Tinto board. The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typically hedges capital expenditures and other significant financial items such as tax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dividends. </w:t>
      </w:r>
    </w:p>
    <w:p>
      <w:pPr>
        <w:pStyle w:val="Heading3"/>
        <w:bidi w:val="0"/>
        <w:jc w:val="start"/>
        <w:rPr/>
      </w:pPr>
      <w:r>
        <w:rPr/>
        <w:t xml:space="preserve">Cadbury Schweppes’ Interest Rate Risk Management Policies.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maintains both fixed and floating rate debt. It manages its interest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exposure by using interest rate swaps, cross currency interest rate swaps, forward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agreements and interest rate caps. It combines floating and fixed rate debts to enable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 the impact of an upward change in interest rates while maintaining benefits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rates happen to fall. The treasury risk management policy maintains minimum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maximum levels of the total net debt and preferred stock permitted to be at fixed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capped rates in various time bands, which range from 50% to 100% for the period up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 months, to 0% to 30% when the period is over five years. (Cadbury Schweppes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Report and Accounts, 2007). In setting the percentages, reference is made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average level of net debt. </w:t>
      </w:r>
    </w:p>
    <w:p>
      <w:pPr>
        <w:pStyle w:val="Heading3"/>
        <w:bidi w:val="0"/>
        <w:jc w:val="start"/>
        <w:rPr/>
      </w:pPr>
      <w:r>
        <w:rPr/>
        <w:t xml:space="preserve">Rio Tinto Plc’s Interest Rate Risk Management Policies.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Rio Tinto Plc maintains an interest rate risk management policy where it borrows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invests at floating interest rates. In doing so, reference is made to historical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correlation between interest rates and commodity prices. Under certain circumstances,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considers fixed rate borrowing as well. Interest rate risk is mitigated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of cross currency interest rate swaps which enable it convert fixed rate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debt into floating rate US dollar borrowings. For example, the group had fixed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debt of approximately US$4. 9billion in 2007 as opposed to US$1. 2billion in 2006.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group anticipates that its earnings will reduce by US$158million if its US dollar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LIBOR interest rate increases by a half percentage point. (Rio Tinto Plc Annual Report,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2007). </w:t>
      </w:r>
    </w:p>
    <w:p>
      <w:pPr>
        <w:pStyle w:val="Heading3"/>
        <w:bidi w:val="0"/>
        <w:jc w:val="start"/>
        <w:rPr/>
      </w:pPr>
      <w:r>
        <w:rPr/>
        <w:t xml:space="preserve">How the Companies Use Derivatives.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Cadbury Scweppes uses both short-term and long-term cross currency and interest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swaps to manage hedge against currency risks and interest rate risks on its debt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obligations. Appendix 4 is a table showing the different derivatives used by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2007. For example, the company receives interest at floating rates of 3 months or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 LIBOR rates (or the local equivalent on Swaps where fixed interest rates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payable. the company also maintains foreign exchange forward contracts. As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December 2007. The fair value for its embedded derivatives amounted to £0. 3million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opposed to £0. 6million in 2006. (Cadbury Schweppes Annual Report and Accounts,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2007). Appendix 5 shows the different derivatives and the sensitivity analysis on how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10% weakening of the £ sterling as well as a 1% change in interest rates will affect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income. (Cadbury Schweppes Annual Report and Accounts, 2007).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Unlike Cadbury Scwheppes, Rio Tinto Plc does not endulge in too much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derivatives to hedge against exchange rate risk. The group rather has a diversified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portfolio of commodities and markets which have different responses to movements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cycles such as exchange rates, interest rates and inflation rates. Commodity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prices and currencies in various countries that the group operate are related in such a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company achieves a long-term natural hedge. The group also borrows at floating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$ interest rate which enables it to counteract the effect of economic and commodity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prices. This therefore limits its use for derivatives and other synthetic protective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instruments. </w:t>
      </w:r>
    </w:p>
    <w:p>
      <w:pPr>
        <w:pStyle w:val="Heading3"/>
        <w:bidi w:val="0"/>
        <w:jc w:val="start"/>
        <w:rPr/>
      </w:pPr>
      <w:r>
        <w:rPr/>
        <w:t xml:space="preserve">Implications to Investors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implications to investors for the different risks identified above as well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policies used by the different companies to mitigate these risk is that investors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that such risks are bound to exist so long as a company operates in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and there are movements in business cycles. Consequently, investors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a company that adopts the best policy towards managing these risks.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how much effort is made towards reducing these risks, not all of the risks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hedged. Investors must therefore bear part of the risk when investing in these companies.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Capital Asset Pricing Model and Arbitrage Pricing Theory, market risk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 be diversified completely. Interest rate risk and currency risks are examples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risks. (Ross et al., 1999; Bodie et al., 2005). Consequently, investors must bear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risks and demand a risk premium for doing so.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https://assignbuster.com/cadbury-schweppes-plc/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Cadbury schweppes plc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dbury-schweppes-pl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Cadbury schweppes plc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Cadbury schweppes plc</dc:title>
  <dc:subject>Others;</dc:subject>
  <dc:creator>AssignBuster</dc:creator>
  <cp:keywords/>
  <dc:description>The financial loss may come as a result of changes in the value of cash flows or as a result of changes in the recorded value of assets and liabilitie...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