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Labetalol c19h24n2o3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flash-point">
        <w:r>
          <w:rPr>
            <w:rStyle w:val="a8"/>
          </w:rPr>
          <w:t xml:space="preserve">Experimental Flash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therapeutical-effect">
        <w:r>
          <w:rPr>
            <w:rStyle w:val="a8"/>
          </w:rPr>
          <w:t xml:space="preserve">Therapeutical Effect: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(Kovats): </w:t>
      </w:r>
    </w:p>
    <w:tbl>
      <w:tblPr>
        <w:tblW w:w="351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55"/>
        <w:gridCol w:w="1864"/>
      </w:tblGrid>
      <w:tr>
        <w:trPr/>
        <w:tc>
          <w:tcPr>
            <w:tcW w:w="1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8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19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24 </w:t>
            </w:r>
            <w:r>
              <w:rPr/>
              <w:t xml:space="preserve">N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3 </w:t>
            </w:r>
          </w:p>
        </w:tc>
      </w:tr>
      <w:tr>
        <w:trPr/>
        <w:tc>
          <w:tcPr>
            <w:tcW w:w="1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8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328. 405 Da </w:t>
            </w:r>
          </w:p>
        </w:tc>
      </w:tr>
      <w:tr>
        <w:trPr/>
        <w:tc>
          <w:tcPr>
            <w:tcW w:w="1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8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8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552. 7±50. 0 °C at 760 mmHg </w:t>
            </w:r>
          </w:p>
        </w:tc>
      </w:tr>
      <w:tr>
        <w:trPr/>
        <w:tc>
          <w:tcPr>
            <w:tcW w:w="1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8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288. 1±30. 1 °C </w:t>
            </w:r>
          </w:p>
        </w:tc>
      </w:tr>
      <w:tr>
        <w:trPr/>
        <w:tc>
          <w:tcPr>
            <w:tcW w:w="1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8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94. 7±0.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8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8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55. 1±3. 0 dyne/cm </w:t>
            </w:r>
          </w:p>
        </w:tc>
      </w:tr>
      <w:tr>
        <w:trPr/>
        <w:tc>
          <w:tcPr>
            <w:tcW w:w="16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86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273. 6±3.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1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01"/>
      </w:tblGrid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195. 5 °CJean-Claude Bradley Open Melting Point Dataset16533, 17160 </w:t>
            </w:r>
          </w:p>
        </w:tc>
      </w:tr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188 °CJean-Claude Bradley Open Melting Point Dataset16533, 17160, 21797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flash-point"/>
      <w:bookmarkEnd w:id="2"/>
      <w:r>
        <w:rPr/>
        <w:t xml:space="preserve">Experimental Flash Point: </w:t>
      </w:r>
    </w:p>
    <w:tbl>
      <w:tblPr>
        <w:tblW w:w="21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01"/>
      </w:tblGrid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288. 1 °CBiosynthQ-201273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gravity"/>
      <w:bookmarkEnd w:id="3"/>
      <w:r>
        <w:rPr/>
        <w:t xml:space="preserve">Experimental Gravity: </w:t>
      </w:r>
    </w:p>
    <w:tbl>
      <w:tblPr>
        <w:tblW w:w="21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01"/>
      </w:tblGrid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288. 1 g/mLBiosynthQ-201273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safety"/>
      <w:bookmarkEnd w:id="4"/>
      <w:r>
        <w:rPr/>
        <w:t xml:space="preserve">Safety: </w:t>
      </w:r>
    </w:p>
    <w:tbl>
      <w:tblPr>
        <w:tblW w:w="21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01"/>
      </w:tblGrid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GHS07BiosynthQ-201273 </w:t>
            </w:r>
          </w:p>
        </w:tc>
      </w:tr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H302BiosynthQ-201273 </w:t>
            </w:r>
          </w:p>
        </w:tc>
      </w:tr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P261; P280; P302+P352; P304+P340; P305+P351+P338; P312BiosynthQ-201273 </w:t>
            </w:r>
          </w:p>
        </w:tc>
      </w:tr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WarningBiosynthQ-201273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therapeutical-effect"/>
      <w:bookmarkEnd w:id="5"/>
      <w:r>
        <w:rPr/>
        <w:t xml:space="preserve">Therapeutical Effect: </w:t>
      </w:r>
    </w:p>
    <w:tbl>
      <w:tblPr>
        <w:tblW w:w="21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01"/>
      </w:tblGrid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Antihypertensive Agents, SympatholyticsSean Ekins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retention-index-kovats"/>
      <w:bookmarkEnd w:id="6"/>
      <w:r>
        <w:rPr/>
        <w:t xml:space="preserve">Retention Index (Kovats): </w:t>
      </w:r>
    </w:p>
    <w:tbl>
      <w:tblPr>
        <w:tblW w:w="21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01"/>
      </w:tblGrid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3004 (estimated with error: 89)NIST Spectramainlib_248725, replib_120430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7" w:name="_acdlabs-table"/>
      <w:bookmarkStart w:id="8" w:name="_acdlabs-table"/>
      <w:bookmarkEnd w:id="7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38"/>
        <w:gridCol w:w="1681"/>
      </w:tblGrid>
      <w:tr>
        <w:trPr/>
        <w:tc>
          <w:tcPr>
            <w:tcW w:w="18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552. 7±50. 0 °C at 760 mmHg 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0±1. 6 mmHg at 25°C 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87. 7±3. 0 kJ/mol 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288. 1±30. 1 °C 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1. 609 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94. 7±0.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14"/>
        <w:gridCol w:w="1605"/>
      </w:tblGrid>
      <w:tr>
        <w:trPr/>
        <w:tc>
          <w:tcPr>
            <w:tcW w:w="1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2. 31 </w:t>
            </w:r>
          </w:p>
        </w:tc>
      </w:tr>
      <w:tr>
        <w:trPr/>
        <w:tc>
          <w:tcPr>
            <w:tcW w:w="1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-0. 27 </w:t>
            </w:r>
          </w:p>
        </w:tc>
      </w:tr>
      <w:tr>
        <w:trPr/>
        <w:tc>
          <w:tcPr>
            <w:tcW w:w="1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1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1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0. 85 </w:t>
            </w:r>
          </w:p>
        </w:tc>
      </w:tr>
      <w:tr>
        <w:trPr/>
        <w:tc>
          <w:tcPr>
            <w:tcW w:w="1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1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9. 43 </w:t>
            </w:r>
          </w:p>
        </w:tc>
      </w:tr>
      <w:tr>
        <w:trPr/>
        <w:tc>
          <w:tcPr>
            <w:tcW w:w="1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96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55. 1±3. 0 dyne/cm </w:t>
            </w:r>
          </w:p>
        </w:tc>
      </w:tr>
      <w:tr>
        <w:trPr/>
        <w:tc>
          <w:tcPr>
            <w:tcW w:w="19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6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273. 6±3.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41Log Kow (Exper. database match) = 3. 09Exper. Ref: Hansch, C et al. (1995)Boiling Pt, Melting Pt, Vapor Pressure Estimations (MPBPWIN v1. 42): Boiling Pt (deg C): 533. 96 (Adapted Stein &amp; Brown method)Melting Pt (deg C): 228. 46 (Mean or Weighted MP)VP(mm Hg, 25 deg C): 3. 33E-013 (Modified Grain method)MP (exp database): 188 deg CSubcooled liquid VP: 1. 69E-011 mm Hg (25 deg C, Mod-Grain method)Water Solubility Estimate from Log Kow (WSKOW v1. 41): Water Solubility at 25 deg C (mg/L): 72. 9log Kow used: 3. 09 (expkow database)no-melting pt equation usedWater Sol Estimate from Fragments: Wat Sol (v1. 01 est) = 75267 mg/LECOSAR Class Program (ECOSAR v0. 99h): Class(es) found: Aliphatic AminesPhenolsBenzyl AlcoholsHenrys Law Constant (25 deg C) [HENRYWIN v3. 10]: Bond Method : 6. 63E-019 atm-m3/moleGroup Method: IncompleteHenrys LC [VP/WSol estimate using EPI values]: 1. 974E-015 atm-m3/moleLog Octanol-Air Partition Coefficient (25 deg C) [KOAWIN v1. 10]: Log Kow used: 3. 09 (exp database)Log Kaw used: -16. 567 (HenryWin est)Log Koa (KOAWIN v1. 10 estimate): 19. 657Log Koa (experimental database): NoneProbability of Rapid Biodegradation (BIOWIN v4. 10): Biowin1 (Linear Model) : 1. 4125Biowin2 (Non-Linear Model) : 0. 9986Expert Survey Biodegradation Results: Biowin3 (Ultimate Survey Model): 2. 6072 (weeks-months)Biowin4 (Primary Survey Model) : 3. 7281 (days-weeks )MITI Biodegradation Probability: Biowin5 (MITI Linear Model) : 0. 1693Biowin6 (MITI Non-Linear Model): 0. 0482Anaerobic Biodegradation Probability: Biowin7 (Anaerobic Linear Model): -0. 1684Ready Biodegradability Prediction: NOHydrocarbon Biodegradation (BioHCwin v1. 01): Structure incompatible with current estimation method! Sorption to aerosols (25 Dec C)[AEROWIN v1. 00]: Vapor pressure (liquid/subcooled): 2. 25E-009 Pa (1. 69E-011 mm Hg)Log Koa (Koawin est ): 19. 657Kp (particle/gas partition coef. (m3/ug)): Mackay model : 1. 33E+003 Octanol/air (Koa) model: 1. 11E+007 Fraction sorbed to airborne particulates (phi): Junge-Pankow model : 1 Mackay model : 1 Octanol/air (Koa) model: 1 Atmospheric Oxidation (25 deg C) [AopWin v1. 92]: Hydroxyl Radicals Reaction: OVERALL OH Rate Constant = 150. 6411 E-12 cm3/molecule-secHalf-Life = 0. 071 Days (12-hr day; 1. 5E6 OH/cm3)Half-Life = 0. 852 HrsOzone Reaction: No Ozone Reaction EstimationReaction With Nitrate Radicals May Be Important! Fraction sorbed to airborne particulates (phi): 1 (Junge, Mackay)Note: the sorbed fraction may be resistant to atmospheric oxidationSoil Adsorption Coefficient (PCKOCWIN v1. 66): Koc : 5677Log Koc: 3. 754 Aqueous Base/Acid-Catalyzed Hydrolysis (25 deg C) [HYDROWIN v1. 67]: Rate constants can NOT be estimated for this structure! Bioaccumulation Estimates from Log Kow (BCFWIN v2. 17): Log BCF from regression-based method = 1. 029 (BCF = 10. 7)log Kow used: 3. 09 (expkow database)Volatilization from Water: Henry LC: 6. 63E-019 atm-m3/mole (estimated by Bond SAR Method)Half-Life from Model River: 1. 6E+015 hours (6. 668E+013 days)Half-Life from Model Lake : 1. 746E+016 hours (7. 274E+014 days)Removal In Wastewater Treatment: Total removal: 6. 53 percentTotal biodegradation: 0. 13 percentTotal sludge adsorption: 6. 40 percentTotal to Air: 0. 00 percent(using 10000 hr Bio P, A, S)Level III Fugacity Model: Mass Amount Half-Life Emissions(percent) (hr) (kg/hr)Air 1. 33e-007 1. 7 1000 Water 12. 5 900 1000 Soil 87. 1 1. 8e+003 1000 Sediment 0. 349 8. 1e+003 0 Persistence Time: 1. 79e+003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https://assignbuster.com/labetalol-c19h24n2o3-structure/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Labetalol c19h24n2o3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abetalol-c19h24n2o3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Labetalol c19h24n2o3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Labetalol c19h24n2o3 structure</dc:title>
  <dc:subject>Others;</dc:subject>
  <dc:creator>AssignBuster</dc:creator>
  <cp:keywords/>
  <dc:description>0 C at 760 mmHg Vapour Pressure: 0.0 1.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