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Aerobic bacteria associated with septic abortion</w:t>
        </w:r>
      </w:hyperlink>
      <w:bookmarkEnd w:id="0"/>
    </w:p>
    <w:p>
      <w:r>
        <w:br w:type="page"/>
      </w:r>
    </w:p>
    <w:p>
      <w:pPr>
        <w:pStyle w:val="TextBody"/>
        <w:bidi w:val="0"/>
        <w:jc w:val="start"/>
        <w:rPr/>
      </w:pPr>
      <w:r>
        <w:rPr/>
        <w:t xml:space="preserve">Aerobic bacteria associated with septic abortion among Sudanese women </w:t>
      </w:r>
    </w:p>
    <w:p>
      <w:pPr>
        <w:pStyle w:val="TextBody"/>
        <w:bidi w:val="0"/>
        <w:spacing w:before="0" w:after="283"/>
        <w:jc w:val="start"/>
        <w:rPr/>
      </w:pPr>
      <w:r>
        <w:rPr/>
        <w:t xml:space="preserve">Yagoub Hamadt Allah Elhaj Abd Elseed1*, Mohamed, A E. M. Ibrahim2 &amp; Waled Amen Mohammed Ahmed3 </w:t>
      </w:r>
    </w:p>
    <w:p>
      <w:pPr>
        <w:pStyle w:val="TextBody"/>
        <w:bidi w:val="0"/>
        <w:spacing w:before="0" w:after="283"/>
        <w:jc w:val="start"/>
        <w:rPr/>
      </w:pPr>
      <w:r>
        <w:rPr/>
        <w:t xml:space="preserve">Abstract </w:t>
      </w:r>
    </w:p>
    <w:p>
      <w:pPr>
        <w:pStyle w:val="TextBody"/>
        <w:bidi w:val="0"/>
        <w:spacing w:before="0" w:after="283"/>
        <w:jc w:val="start"/>
        <w:rPr/>
      </w:pPr>
      <w:r>
        <w:rPr/>
        <w:t xml:space="preserve">Background: Septic abortion is a common health problem with short- and long-term complications that affect the quality of life of those fortunate enough to avoid mortality. Both spontaneous and induced abortion may result in septic complications. </w:t>
      </w:r>
    </w:p>
    <w:p>
      <w:pPr>
        <w:pStyle w:val="TextBody"/>
        <w:bidi w:val="0"/>
        <w:spacing w:before="0" w:after="283"/>
        <w:jc w:val="start"/>
        <w:rPr/>
      </w:pPr>
      <w:r>
        <w:rPr/>
        <w:t xml:space="preserve">Objective: This study aimed to isolate and identify aerobic bacterial causative agents of septic abortion in Sudan. </w:t>
      </w:r>
    </w:p>
    <w:p>
      <w:pPr>
        <w:pStyle w:val="TextBody"/>
        <w:bidi w:val="0"/>
        <w:spacing w:before="0" w:after="283"/>
        <w:jc w:val="start"/>
        <w:rPr/>
      </w:pPr>
      <w:r>
        <w:rPr/>
        <w:t xml:space="preserve">Method: A descriptive study was conducted in the period from March 2013 till June 2013 in Gynecological Unit in Khartoum Teaching Hospital, Sudan. Thirty women with vaginal bleeding in the unit were included in the study. Thirty high vaginal swabs and cervical swabs were collected from the selected ladies admitted to the hospital with bleeding. </w:t>
      </w:r>
    </w:p>
    <w:p>
      <w:pPr>
        <w:pStyle w:val="TextBody"/>
        <w:bidi w:val="0"/>
        <w:spacing w:before="0" w:after="283"/>
        <w:jc w:val="start"/>
        <w:rPr/>
      </w:pPr>
      <w:r>
        <w:rPr/>
        <w:t xml:space="preserve">Results: The prevalence of abortion was as fallows, in age group(20-25) abortion cases were (13. 3%), in group(26-30) abortion cases were (33. 3%), in group(31-35) cases were (20%), in group(36-40) cases were (33. 3%) (P &gt; 0. 05). Isolated bacteria from those cases were; </w:t>
      </w:r>
      <w:r>
        <w:rPr>
          <w:rStyle w:val="Emphasis"/>
        </w:rPr>
        <w:t xml:space="preserve">Staphylococcus epidermidis </w:t>
      </w:r>
      <w:r>
        <w:rPr/>
        <w:t xml:space="preserve">(86. 2%), </w:t>
      </w:r>
      <w:r>
        <w:rPr>
          <w:rStyle w:val="Emphasis"/>
        </w:rPr>
        <w:t xml:space="preserve">Klebsiella ozaenae </w:t>
      </w:r>
      <w:r>
        <w:rPr/>
        <w:t xml:space="preserve">(6. 9%), </w:t>
      </w:r>
      <w:r>
        <w:rPr>
          <w:rStyle w:val="Emphasis"/>
        </w:rPr>
        <w:t xml:space="preserve">Proteus mirabilis </w:t>
      </w:r>
      <w:r>
        <w:rPr/>
        <w:t xml:space="preserve">(3. 4%), </w:t>
      </w:r>
      <w:r>
        <w:rPr>
          <w:rStyle w:val="Emphasis"/>
        </w:rPr>
        <w:t xml:space="preserve">Escherichia coli </w:t>
      </w:r>
      <w:r>
        <w:rPr/>
        <w:t xml:space="preserve">(3. 4%) and </w:t>
      </w:r>
      <w:r>
        <w:rPr>
          <w:rStyle w:val="Emphasis"/>
        </w:rPr>
        <w:t xml:space="preserve">Staphylococcus aureus </w:t>
      </w:r>
      <w:r>
        <w:rPr/>
        <w:t xml:space="preserve">(3. 4 </w:t>
      </w:r>
      <w:r>
        <w:rPr>
          <w:rStyle w:val="Emphasis"/>
        </w:rPr>
        <w:t xml:space="preserve">%) </w:t>
      </w:r>
      <w:r>
        <w:rPr/>
        <w:t xml:space="preserve">. The present study showed that induced abortion (73. 3%) was insignificantly more than habitual abortion (26. 3%), (P= 0. 07). </w:t>
      </w:r>
    </w:p>
    <w:p>
      <w:pPr>
        <w:pStyle w:val="TextBody"/>
        <w:bidi w:val="0"/>
        <w:spacing w:before="0" w:after="283"/>
        <w:jc w:val="start"/>
        <w:rPr/>
      </w:pPr>
      <w:r>
        <w:rPr/>
        <w:t xml:space="preserve">Conclusion: The major isolated organism was </w:t>
      </w:r>
      <w:r>
        <w:rPr>
          <w:rStyle w:val="Emphasis"/>
        </w:rPr>
        <w:t xml:space="preserve">Staphylococcus epidermidis </w:t>
      </w:r>
      <w:r>
        <w:rPr/>
        <w:t xml:space="preserve">(86. 2%), which was isolated from both complete and initial cases. But aerobic pathogenic bacteria isolated were </w:t>
      </w:r>
      <w:r>
        <w:rPr>
          <w:rStyle w:val="Emphasis"/>
        </w:rPr>
        <w:t xml:space="preserve">Klebseilla ozaenae </w:t>
      </w:r>
      <w:r>
        <w:rPr/>
        <w:t xml:space="preserve">, </w:t>
      </w:r>
      <w:r>
        <w:rPr>
          <w:rStyle w:val="Emphasis"/>
        </w:rPr>
        <w:t xml:space="preserve">Proteus mirabilis </w:t>
      </w:r>
      <w:r>
        <w:rPr/>
        <w:t xml:space="preserve">, Staphylococcus </w:t>
      </w:r>
      <w:r>
        <w:rPr>
          <w:rStyle w:val="Emphasis"/>
        </w:rPr>
        <w:t xml:space="preserve">aureus </w:t>
      </w:r>
      <w:r>
        <w:rPr/>
        <w:t xml:space="preserve">and </w:t>
      </w:r>
      <w:r>
        <w:rPr>
          <w:rStyle w:val="Emphasis"/>
        </w:rPr>
        <w:t xml:space="preserve">Escherichia coli </w:t>
      </w:r>
      <w:r>
        <w:rPr/>
        <w:t xml:space="preserve">. </w:t>
      </w:r>
    </w:p>
    <w:p>
      <w:pPr>
        <w:pStyle w:val="TextBody"/>
        <w:bidi w:val="0"/>
        <w:spacing w:before="0" w:after="283"/>
        <w:jc w:val="start"/>
        <w:rPr/>
      </w:pPr>
      <w:r>
        <w:rPr/>
        <w:t xml:space="preserve">Keywords: Septic abortion, vaginal swab, pregnant women, </w:t>
      </w:r>
      <w:r>
        <w:rPr>
          <w:rStyle w:val="Emphasis"/>
        </w:rPr>
        <w:t xml:space="preserve">Stahpylococcus epidermidis </w:t>
      </w:r>
      <w:r>
        <w:rPr/>
        <w:t xml:space="preserve">. </w:t>
      </w:r>
    </w:p>
    <w:p>
      <w:pPr>
        <w:pStyle w:val="TextBody"/>
        <w:bidi w:val="0"/>
        <w:spacing w:before="0" w:after="283"/>
        <w:jc w:val="start"/>
        <w:rPr/>
      </w:pPr>
      <w:r>
        <w:rPr/>
        <w:t xml:space="preserve">Introduction: </w:t>
      </w:r>
    </w:p>
    <w:p>
      <w:pPr>
        <w:pStyle w:val="TextBody"/>
        <w:bidi w:val="0"/>
        <w:spacing w:before="0" w:after="283"/>
        <w:jc w:val="start"/>
        <w:rPr/>
      </w:pPr>
      <w:r>
        <w:rPr/>
        <w:t xml:space="preserve">Septic abortions contribute significantly to maternal morbidity and mortality. Improving literacy rate in the female population and effective family planning should reduce its incidence [1]. In 1900, the rationale of therapy of the incomplete septic abortion was divided into a medical or surgical approach. Medical therapy comprising oxytocic, bed rest and supportive measures theoretically decreased the incidence of sepsis, while increasing the problem of blood loss and prolonged hospitalization. The surgical approach classified by some as controlled blood loss but theoretically increased the incidence of sepsis [1]. </w:t>
      </w:r>
    </w:p>
    <w:p>
      <w:pPr>
        <w:pStyle w:val="TextBody"/>
        <w:bidi w:val="0"/>
        <w:spacing w:before="0" w:after="283"/>
        <w:jc w:val="start"/>
        <w:rPr/>
      </w:pPr>
      <w:r>
        <w:rPr/>
        <w:t xml:space="preserve">In 1973, a report described an adolescent admitted to a large Boston Teaching Hospital with what proved to be incomplete septic abortion [2]. Deaths from illegal abortion are mainly due to infection[2, 3]. Additional to that At 1990 a review of deaths due to abortion in the united states noted that 62 percent of the deaths from illegal abortion and 51 percent of deaths from spontaneous abortion were due to infection, as compared which only 21 percent of death from legal abortion [4] . Mccormick (I944) estimated that 3, 500 women died annually in America from this complication of pregnancy and a recent estimate in Turkey suggested that 10, 000 women a year died from this cause in that country[5]. </w:t>
      </w:r>
    </w:p>
    <w:p>
      <w:pPr>
        <w:pStyle w:val="TextBody"/>
        <w:bidi w:val="0"/>
        <w:spacing w:before="0" w:after="283"/>
        <w:jc w:val="start"/>
        <w:rPr/>
      </w:pPr>
      <w:r>
        <w:rPr/>
        <w:t xml:space="preserve">A recent publication by Sedgh et al. (2007) estimated that a total of 42 million abortions were performed in 2003, down from 46 million estimated for 1995 using the same methods. The same study showed that 20% of all pregnancies, including miscarriages and stillbirths, terminate in abortion each year. This means that one out of every five pregnancies worldwide is voluntarily terminated annually, a statistic that illustrates its enormous dimensions. Expressed another way, the worldwide rate of induced abortion was approximately 29 per 1000 women between ages 15 and 44 years in 2003, down from 35 per 1000 in 1995. This means that globally one out of every 34 women within that age range has an abortion each year [6]. </w:t>
      </w:r>
    </w:p>
    <w:p>
      <w:pPr>
        <w:pStyle w:val="TextBody"/>
        <w:bidi w:val="0"/>
        <w:spacing w:before="0" w:after="283"/>
        <w:jc w:val="start"/>
        <w:rPr/>
      </w:pPr>
      <w:r>
        <w:rPr/>
        <w:t xml:space="preserve">On the basis of verbal autopsy data and hospital records it is estimated that approximately 25% of maternal deaths are caused by hemorrhage, 15% by infection, 12% by pregnancy-induced hypertension, and 8% by obstructed labor[7]. At the last years it has been observed that there is an increase in the prevalence of septic abortion among pregnant women, and its complication upon community. Septic abortion is considered nowadays one of the most important issues concerning Maternal health . There are not much studies traced in Sudan investigating the septic abortion prevalence and its causative agent. Therefore, this study aimed to isolate and identify aerobic bacterial causative agents of septic abortion in Khartoum, Sudan. </w:t>
      </w:r>
    </w:p>
    <w:p>
      <w:pPr>
        <w:pStyle w:val="TextBody"/>
        <w:bidi w:val="0"/>
        <w:spacing w:before="0" w:after="283"/>
        <w:jc w:val="start"/>
        <w:rPr/>
      </w:pPr>
      <w:r>
        <w:rPr/>
        <w:t xml:space="preserve">Material and Method </w:t>
      </w:r>
    </w:p>
    <w:p>
      <w:pPr>
        <w:pStyle w:val="TextBody"/>
        <w:bidi w:val="0"/>
        <w:spacing w:before="0" w:after="283"/>
        <w:jc w:val="start"/>
        <w:rPr/>
      </w:pPr>
      <w:r>
        <w:rPr/>
        <w:t xml:space="preserve">This is a descriptive study. It had been conducted among pregnant women in age of (20 – 40 ) years, who are being admitted to the Gynecology bleeding emergency room of Khartoum Teaching Hospital, Sudan, in the period from March 2013 till June 2013. </w:t>
      </w:r>
    </w:p>
    <w:p>
      <w:pPr>
        <w:pStyle w:val="TextBody"/>
        <w:bidi w:val="0"/>
        <w:spacing w:before="0" w:after="283"/>
        <w:jc w:val="start"/>
        <w:rPr/>
      </w:pPr>
      <w:r>
        <w:rPr/>
        <w:t xml:space="preserve">High vaginal swabs: </w:t>
      </w:r>
    </w:p>
    <w:p>
      <w:pPr>
        <w:pStyle w:val="TextBody"/>
        <w:bidi w:val="0"/>
        <w:spacing w:before="0" w:after="283"/>
        <w:jc w:val="start"/>
        <w:rPr/>
      </w:pPr>
      <w:r>
        <w:rPr/>
        <w:t xml:space="preserve">After the introduction of the speculum, the swab should be rolled firmly over the surface of the vaginal vault. The swab should then be placed in Amies transport medium with charcoal or/and Stuarts transport medium. </w:t>
      </w:r>
    </w:p>
    <w:p>
      <w:pPr>
        <w:pStyle w:val="TextBody"/>
        <w:bidi w:val="0"/>
        <w:spacing w:before="0" w:after="283"/>
        <w:jc w:val="start"/>
        <w:rPr/>
      </w:pPr>
      <w:r>
        <w:rPr/>
        <w:t xml:space="preserve">Cervical swabs: </w:t>
      </w:r>
    </w:p>
    <w:p>
      <w:pPr>
        <w:pStyle w:val="TextBody"/>
        <w:bidi w:val="0"/>
        <w:spacing w:before="0" w:after="283"/>
        <w:jc w:val="start"/>
        <w:rPr/>
      </w:pPr>
      <w:r>
        <w:rPr/>
        <w:t xml:space="preserve">After introduction of the speculum to the vagina, the swab should be rotated inside the endocervix. The swab should then be placed in Amies transport medium with charcoal or Stuarts transport medium. Then all collected specimens were inoculated on Blood agar (aerobic 370c), chocolate agar (aerobic 370c and 5-10% co2) and Macconkey agar (aerobic 370c). Incubated for overnight based on report done by Fawad A. et al 2008[8], when puerperal sepsis or septic abortion is suspected inoculate the specimen on two plates of blood agar and incubate aerobically at 35–370C overnight. Inoculate the specimen on Macconkey agar and incubate the plate aerobically at 35–370c overnight [8]. </w:t>
      </w:r>
    </w:p>
    <w:p>
      <w:pPr>
        <w:pStyle w:val="TextBody"/>
        <w:bidi w:val="0"/>
        <w:spacing w:before="0" w:after="283"/>
        <w:jc w:val="start"/>
        <w:rPr/>
      </w:pPr>
      <w:r>
        <w:rPr/>
        <w:t xml:space="preserve">Examine the colonies for Gram stained smear: </w:t>
      </w:r>
    </w:p>
    <w:p>
      <w:pPr>
        <w:pStyle w:val="TextBody"/>
        <w:bidi w:val="0"/>
        <w:spacing w:before="0" w:after="283"/>
        <w:jc w:val="start"/>
        <w:rPr/>
      </w:pPr>
      <w:r>
        <w:rPr/>
        <w:t xml:space="preserve">It is done to examine the smear for pus cells and bacteria (8). </w:t>
      </w:r>
    </w:p>
    <w:p>
      <w:pPr>
        <w:pStyle w:val="TextBody"/>
        <w:bidi w:val="0"/>
        <w:spacing w:before="0" w:after="283"/>
        <w:jc w:val="start"/>
        <w:rPr/>
      </w:pPr>
      <w:r>
        <w:rPr/>
        <w:t xml:space="preserve">Identification tests: done to identify the pathogenic bacteria include Catalase test, Coagulase test, Deoxyriboneuclease test, Kligler iron agar, Citrate utilization test, Simmons citrate agar, Urease test, Indole test, Sugar fermentation test and Methyl Red test. </w:t>
      </w:r>
    </w:p>
    <w:p>
      <w:pPr>
        <w:pStyle w:val="TextBody"/>
        <w:bidi w:val="0"/>
        <w:spacing w:before="0" w:after="283"/>
        <w:jc w:val="start"/>
        <w:rPr/>
      </w:pPr>
      <w:r>
        <w:rPr/>
        <w:t xml:space="preserve">Results: </w:t>
      </w:r>
    </w:p>
    <w:p>
      <w:pPr>
        <w:pStyle w:val="TextBody"/>
        <w:bidi w:val="0"/>
        <w:spacing w:before="0" w:after="283"/>
        <w:jc w:val="start"/>
        <w:rPr/>
      </w:pPr>
      <w:r>
        <w:rPr/>
        <w:t xml:space="preserve">The total number of 30 samples were collected from pregnant women suffering from bleeding, out of these 11 specimens (36. 67%) were collected after complete abortion, whilst 19 (63. 33%) samples were collected at initial time of bleeding, as indicated in Table (1) . </w:t>
      </w:r>
    </w:p>
    <w:p>
      <w:pPr>
        <w:pStyle w:val="TextBody"/>
        <w:bidi w:val="0"/>
        <w:spacing w:before="0" w:after="283"/>
        <w:jc w:val="start"/>
        <w:rPr/>
      </w:pPr>
      <w:r>
        <w:rPr/>
        <w:t xml:space="preserve">Table (1): The collected specimens time from women with bleeding in Khartoum Teaching Hospital. </w:t>
      </w:r>
    </w:p>
    <w:tbl>
      <w:tblPr>
        <w:tblW w:w="5119" w:type="dxa"/>
        <w:jc w:val="start"/>
        <w:tblInd w:w="0" w:type="dxa"/>
        <w:tblLayout w:type="fixed"/>
        <w:tblCellMar>
          <w:top w:w="28" w:type="dxa"/>
          <w:start w:w="28" w:type="dxa"/>
          <w:bottom w:w="28" w:type="dxa"/>
          <w:end w:w="28" w:type="dxa"/>
        </w:tblCellMar>
      </w:tblPr>
      <w:tblGrid>
        <w:gridCol w:w="2981"/>
        <w:gridCol w:w="918"/>
        <w:gridCol w:w="1220"/>
      </w:tblGrid>
      <w:tr>
        <w:trPr/>
        <w:tc>
          <w:tcPr>
            <w:tcW w:w="2981" w:type="dxa"/>
            <w:tcBorders/>
            <w:vAlign w:val="center"/>
          </w:tcPr>
          <w:p>
            <w:pPr>
              <w:pStyle w:val="TableContents"/>
              <w:bidi w:val="0"/>
              <w:spacing w:before="0" w:after="283"/>
              <w:jc w:val="start"/>
              <w:rPr/>
            </w:pPr>
            <w:r>
              <w:rPr/>
              <w:t xml:space="preserve">Parameter </w:t>
            </w:r>
          </w:p>
        </w:tc>
        <w:tc>
          <w:tcPr>
            <w:tcW w:w="918" w:type="dxa"/>
            <w:tcBorders/>
            <w:vAlign w:val="center"/>
          </w:tcPr>
          <w:p>
            <w:pPr>
              <w:pStyle w:val="TableContents"/>
              <w:bidi w:val="0"/>
              <w:spacing w:before="0" w:after="283"/>
              <w:jc w:val="start"/>
              <w:rPr/>
            </w:pPr>
            <w:r>
              <w:rPr/>
              <w:t xml:space="preserve">Number </w:t>
            </w:r>
          </w:p>
        </w:tc>
        <w:tc>
          <w:tcPr>
            <w:tcW w:w="1220" w:type="dxa"/>
            <w:tcBorders/>
            <w:vAlign w:val="center"/>
          </w:tcPr>
          <w:p>
            <w:pPr>
              <w:pStyle w:val="TableContents"/>
              <w:bidi w:val="0"/>
              <w:spacing w:before="0" w:after="283"/>
              <w:jc w:val="start"/>
              <w:rPr/>
            </w:pPr>
            <w:r>
              <w:rPr/>
              <w:t xml:space="preserve">Percentage </w:t>
            </w:r>
          </w:p>
        </w:tc>
      </w:tr>
      <w:tr>
        <w:trPr/>
        <w:tc>
          <w:tcPr>
            <w:tcW w:w="2981" w:type="dxa"/>
            <w:tcBorders/>
            <w:vAlign w:val="center"/>
          </w:tcPr>
          <w:p>
            <w:pPr>
              <w:pStyle w:val="TableContents"/>
              <w:bidi w:val="0"/>
              <w:spacing w:before="0" w:after="283"/>
              <w:jc w:val="start"/>
              <w:rPr/>
            </w:pPr>
            <w:r>
              <w:rPr/>
              <w:t xml:space="preserve">Specimens collected after complete abortion </w:t>
            </w:r>
          </w:p>
        </w:tc>
        <w:tc>
          <w:tcPr>
            <w:tcW w:w="918" w:type="dxa"/>
            <w:tcBorders/>
            <w:vAlign w:val="center"/>
          </w:tcPr>
          <w:p>
            <w:pPr>
              <w:pStyle w:val="TableContents"/>
              <w:bidi w:val="0"/>
              <w:spacing w:before="0" w:after="283"/>
              <w:jc w:val="start"/>
              <w:rPr/>
            </w:pPr>
            <w:r>
              <w:rPr/>
              <w:t xml:space="preserve">11 </w:t>
            </w:r>
          </w:p>
        </w:tc>
        <w:tc>
          <w:tcPr>
            <w:tcW w:w="1220" w:type="dxa"/>
            <w:tcBorders/>
            <w:vAlign w:val="center"/>
          </w:tcPr>
          <w:p>
            <w:pPr>
              <w:pStyle w:val="TableContents"/>
              <w:bidi w:val="0"/>
              <w:spacing w:before="0" w:after="283"/>
              <w:jc w:val="start"/>
              <w:rPr/>
            </w:pPr>
            <w:r>
              <w:rPr/>
              <w:t xml:space="preserve">36. 67% </w:t>
            </w:r>
          </w:p>
        </w:tc>
      </w:tr>
      <w:tr>
        <w:trPr/>
        <w:tc>
          <w:tcPr>
            <w:tcW w:w="2981" w:type="dxa"/>
            <w:tcBorders/>
            <w:vAlign w:val="center"/>
          </w:tcPr>
          <w:p>
            <w:pPr>
              <w:pStyle w:val="TableContents"/>
              <w:bidi w:val="0"/>
              <w:spacing w:before="0" w:after="283"/>
              <w:jc w:val="start"/>
              <w:rPr/>
            </w:pPr>
            <w:r>
              <w:rPr/>
              <w:t xml:space="preserve">Specimens collected at initial time of bleeding </w:t>
            </w:r>
          </w:p>
        </w:tc>
        <w:tc>
          <w:tcPr>
            <w:tcW w:w="918" w:type="dxa"/>
            <w:tcBorders/>
            <w:vAlign w:val="center"/>
          </w:tcPr>
          <w:p>
            <w:pPr>
              <w:pStyle w:val="TableContents"/>
              <w:bidi w:val="0"/>
              <w:spacing w:before="0" w:after="283"/>
              <w:jc w:val="start"/>
              <w:rPr/>
            </w:pPr>
            <w:r>
              <w:rPr/>
              <w:t xml:space="preserve">19 </w:t>
            </w:r>
          </w:p>
        </w:tc>
        <w:tc>
          <w:tcPr>
            <w:tcW w:w="1220" w:type="dxa"/>
            <w:tcBorders/>
            <w:vAlign w:val="center"/>
          </w:tcPr>
          <w:p>
            <w:pPr>
              <w:pStyle w:val="TableContents"/>
              <w:bidi w:val="0"/>
              <w:spacing w:before="0" w:after="283"/>
              <w:jc w:val="start"/>
              <w:rPr/>
            </w:pPr>
            <w:r>
              <w:rPr/>
              <w:t xml:space="preserve">63. 33% </w:t>
            </w:r>
          </w:p>
        </w:tc>
      </w:tr>
      <w:tr>
        <w:trPr/>
        <w:tc>
          <w:tcPr>
            <w:tcW w:w="2981" w:type="dxa"/>
            <w:tcBorders/>
            <w:vAlign w:val="center"/>
          </w:tcPr>
          <w:p>
            <w:pPr>
              <w:pStyle w:val="TableContents"/>
              <w:bidi w:val="0"/>
              <w:spacing w:before="0" w:after="283"/>
              <w:jc w:val="start"/>
              <w:rPr/>
            </w:pPr>
            <w:r>
              <w:rPr/>
              <w:t xml:space="preserve">Total cases </w:t>
            </w:r>
          </w:p>
        </w:tc>
        <w:tc>
          <w:tcPr>
            <w:tcW w:w="918" w:type="dxa"/>
            <w:tcBorders/>
            <w:vAlign w:val="center"/>
          </w:tcPr>
          <w:p>
            <w:pPr>
              <w:pStyle w:val="TableContents"/>
              <w:bidi w:val="0"/>
              <w:spacing w:before="0" w:after="283"/>
              <w:jc w:val="start"/>
              <w:rPr/>
            </w:pPr>
            <w:r>
              <w:rPr/>
              <w:t xml:space="preserve">30 </w:t>
            </w:r>
          </w:p>
        </w:tc>
        <w:tc>
          <w:tcPr>
            <w:tcW w:w="1220"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According to demographic characters, septic abortion appearing more frequently at the age of 26-30 and 36-40 and most cases were induced abortion (73. 3%) as shown in Table (2). </w:t>
      </w:r>
    </w:p>
    <w:p>
      <w:pPr>
        <w:pStyle w:val="TextBody"/>
        <w:bidi w:val="0"/>
        <w:spacing w:before="0" w:after="283"/>
        <w:jc w:val="start"/>
        <w:rPr/>
      </w:pPr>
      <w:r>
        <w:rPr/>
        <w:t xml:space="preserve">Table (2): Demographic characteristics of women attending with bleeding Khartoum Teaching Hospital: </w:t>
      </w:r>
    </w:p>
    <w:tbl>
      <w:tblPr>
        <w:tblW w:w="5119" w:type="dxa"/>
        <w:jc w:val="start"/>
        <w:tblInd w:w="0" w:type="dxa"/>
        <w:tblLayout w:type="fixed"/>
        <w:tblCellMar>
          <w:top w:w="28" w:type="dxa"/>
          <w:start w:w="28" w:type="dxa"/>
          <w:bottom w:w="28" w:type="dxa"/>
          <w:end w:w="28" w:type="dxa"/>
        </w:tblCellMar>
      </w:tblPr>
      <w:tblGrid>
        <w:gridCol w:w="2014"/>
        <w:gridCol w:w="1148"/>
        <w:gridCol w:w="1178"/>
        <w:gridCol w:w="779"/>
      </w:tblGrid>
      <w:tr>
        <w:trPr/>
        <w:tc>
          <w:tcPr>
            <w:tcW w:w="2014" w:type="dxa"/>
            <w:tcBorders/>
            <w:vAlign w:val="center"/>
          </w:tcPr>
          <w:p>
            <w:pPr>
              <w:pStyle w:val="TableContents"/>
              <w:bidi w:val="0"/>
              <w:spacing w:before="0" w:after="283"/>
              <w:jc w:val="start"/>
              <w:rPr/>
            </w:pPr>
            <w:r>
              <w:rPr/>
              <w:t xml:space="preserve">Demographic character </w:t>
            </w:r>
          </w:p>
        </w:tc>
        <w:tc>
          <w:tcPr>
            <w:tcW w:w="1148" w:type="dxa"/>
            <w:tcBorders/>
            <w:vAlign w:val="center"/>
          </w:tcPr>
          <w:p>
            <w:pPr>
              <w:pStyle w:val="TableContents"/>
              <w:bidi w:val="0"/>
              <w:spacing w:before="0" w:after="283"/>
              <w:jc w:val="start"/>
              <w:rPr/>
            </w:pPr>
            <w:r>
              <w:rPr/>
              <w:t xml:space="preserve">Frequency </w:t>
            </w:r>
          </w:p>
        </w:tc>
        <w:tc>
          <w:tcPr>
            <w:tcW w:w="1178" w:type="dxa"/>
            <w:tcBorders/>
            <w:vAlign w:val="center"/>
          </w:tcPr>
          <w:p>
            <w:pPr>
              <w:pStyle w:val="TableContents"/>
              <w:bidi w:val="0"/>
              <w:spacing w:before="0" w:after="283"/>
              <w:jc w:val="start"/>
              <w:rPr/>
            </w:pPr>
            <w:r>
              <w:rPr/>
              <w:t xml:space="preserve">Percentage </w:t>
            </w:r>
          </w:p>
        </w:tc>
        <w:tc>
          <w:tcPr>
            <w:tcW w:w="779" w:type="dxa"/>
            <w:tcBorders/>
          </w:tcPr>
          <w:p>
            <w:pPr>
              <w:pStyle w:val="TableContents"/>
              <w:bidi w:val="0"/>
              <w:spacing w:before="0" w:after="283"/>
              <w:jc w:val="start"/>
              <w:rPr>
                <w:sz w:val="4"/>
                <w:szCs w:val="4"/>
              </w:rPr>
            </w:pPr>
            <w:r>
              <w:rPr>
                <w:sz w:val="4"/>
                <w:szCs w:val="4"/>
              </w:rPr>
            </w:r>
          </w:p>
        </w:tc>
      </w:tr>
      <w:tr>
        <w:trPr/>
        <w:tc>
          <w:tcPr>
            <w:tcW w:w="2014" w:type="dxa"/>
            <w:tcBorders/>
            <w:vAlign w:val="center"/>
          </w:tcPr>
          <w:p>
            <w:pPr>
              <w:pStyle w:val="TableContents"/>
              <w:bidi w:val="0"/>
              <w:spacing w:before="0" w:after="283"/>
              <w:jc w:val="start"/>
              <w:rPr/>
            </w:pPr>
            <w:r>
              <w:rPr/>
              <w:t xml:space="preserve">Age categories </w:t>
            </w:r>
          </w:p>
        </w:tc>
        <w:tc>
          <w:tcPr>
            <w:tcW w:w="1148" w:type="dxa"/>
            <w:tcBorders/>
            <w:vAlign w:val="center"/>
          </w:tcPr>
          <w:p>
            <w:pPr>
              <w:pStyle w:val="TableContents"/>
              <w:bidi w:val="0"/>
              <w:spacing w:before="0" w:after="283"/>
              <w:jc w:val="start"/>
              <w:rPr/>
            </w:pPr>
            <w:r>
              <w:rPr/>
              <w:t xml:space="preserve">20-25 </w:t>
            </w:r>
          </w:p>
        </w:tc>
        <w:tc>
          <w:tcPr>
            <w:tcW w:w="1178" w:type="dxa"/>
            <w:tcBorders/>
            <w:vAlign w:val="center"/>
          </w:tcPr>
          <w:p>
            <w:pPr>
              <w:pStyle w:val="TableContents"/>
              <w:bidi w:val="0"/>
              <w:spacing w:before="0" w:after="283"/>
              <w:jc w:val="start"/>
              <w:rPr/>
            </w:pPr>
            <w:r>
              <w:rPr/>
              <w:t xml:space="preserve">4 </w:t>
            </w:r>
          </w:p>
        </w:tc>
        <w:tc>
          <w:tcPr>
            <w:tcW w:w="779" w:type="dxa"/>
            <w:tcBorders/>
            <w:vAlign w:val="center"/>
          </w:tcPr>
          <w:p>
            <w:pPr>
              <w:pStyle w:val="TableContents"/>
              <w:bidi w:val="0"/>
              <w:spacing w:before="0" w:after="283"/>
              <w:jc w:val="start"/>
              <w:rPr/>
            </w:pPr>
            <w:r>
              <w:rPr/>
              <w:t xml:space="preserve">13. 34% </w:t>
            </w:r>
          </w:p>
        </w:tc>
      </w:tr>
      <w:tr>
        <w:trPr/>
        <w:tc>
          <w:tcPr>
            <w:tcW w:w="2014" w:type="dxa"/>
            <w:tcBorders/>
            <w:vAlign w:val="center"/>
          </w:tcPr>
          <w:p>
            <w:pPr>
              <w:pStyle w:val="TableContents"/>
              <w:bidi w:val="0"/>
              <w:spacing w:before="0" w:after="283"/>
              <w:jc w:val="start"/>
              <w:rPr/>
            </w:pPr>
            <w:r>
              <w:rPr/>
              <w:t xml:space="preserve">26-30 </w:t>
            </w:r>
          </w:p>
        </w:tc>
        <w:tc>
          <w:tcPr>
            <w:tcW w:w="1148" w:type="dxa"/>
            <w:tcBorders/>
            <w:vAlign w:val="center"/>
          </w:tcPr>
          <w:p>
            <w:pPr>
              <w:pStyle w:val="TableContents"/>
              <w:bidi w:val="0"/>
              <w:spacing w:before="0" w:after="283"/>
              <w:jc w:val="start"/>
              <w:rPr/>
            </w:pPr>
            <w:r>
              <w:rPr/>
              <w:t xml:space="preserve">10 </w:t>
            </w:r>
          </w:p>
        </w:tc>
        <w:tc>
          <w:tcPr>
            <w:tcW w:w="1178" w:type="dxa"/>
            <w:tcBorders/>
            <w:vAlign w:val="center"/>
          </w:tcPr>
          <w:p>
            <w:pPr>
              <w:pStyle w:val="TableContents"/>
              <w:bidi w:val="0"/>
              <w:spacing w:before="0" w:after="283"/>
              <w:jc w:val="start"/>
              <w:rPr/>
            </w:pPr>
            <w:r>
              <w:rPr/>
              <w:t xml:space="preserve">33. 33% </w:t>
            </w:r>
          </w:p>
        </w:tc>
        <w:tc>
          <w:tcPr>
            <w:tcW w:w="779" w:type="dxa"/>
            <w:tcBorders/>
          </w:tcPr>
          <w:p>
            <w:pPr>
              <w:pStyle w:val="TableContents"/>
              <w:bidi w:val="0"/>
              <w:spacing w:before="0" w:after="283"/>
              <w:jc w:val="start"/>
              <w:rPr>
                <w:sz w:val="4"/>
                <w:szCs w:val="4"/>
              </w:rPr>
            </w:pPr>
            <w:r>
              <w:rPr>
                <w:sz w:val="4"/>
                <w:szCs w:val="4"/>
              </w:rPr>
            </w:r>
          </w:p>
        </w:tc>
      </w:tr>
      <w:tr>
        <w:trPr/>
        <w:tc>
          <w:tcPr>
            <w:tcW w:w="2014" w:type="dxa"/>
            <w:tcBorders/>
            <w:vAlign w:val="center"/>
          </w:tcPr>
          <w:p>
            <w:pPr>
              <w:pStyle w:val="TableContents"/>
              <w:bidi w:val="0"/>
              <w:spacing w:before="0" w:after="283"/>
              <w:jc w:val="start"/>
              <w:rPr/>
            </w:pPr>
            <w:r>
              <w:rPr/>
              <w:t xml:space="preserve">31-35 </w:t>
            </w:r>
          </w:p>
        </w:tc>
        <w:tc>
          <w:tcPr>
            <w:tcW w:w="1148" w:type="dxa"/>
            <w:tcBorders/>
            <w:vAlign w:val="center"/>
          </w:tcPr>
          <w:p>
            <w:pPr>
              <w:pStyle w:val="TableContents"/>
              <w:bidi w:val="0"/>
              <w:spacing w:before="0" w:after="283"/>
              <w:jc w:val="start"/>
              <w:rPr/>
            </w:pPr>
            <w:r>
              <w:rPr/>
              <w:t xml:space="preserve">6 </w:t>
            </w:r>
          </w:p>
        </w:tc>
        <w:tc>
          <w:tcPr>
            <w:tcW w:w="1178" w:type="dxa"/>
            <w:tcBorders/>
            <w:vAlign w:val="center"/>
          </w:tcPr>
          <w:p>
            <w:pPr>
              <w:pStyle w:val="TableContents"/>
              <w:bidi w:val="0"/>
              <w:spacing w:before="0" w:after="283"/>
              <w:jc w:val="start"/>
              <w:rPr/>
            </w:pPr>
            <w:r>
              <w:rPr/>
              <w:t xml:space="preserve">20% </w:t>
            </w:r>
          </w:p>
        </w:tc>
        <w:tc>
          <w:tcPr>
            <w:tcW w:w="779" w:type="dxa"/>
            <w:tcBorders/>
          </w:tcPr>
          <w:p>
            <w:pPr>
              <w:pStyle w:val="TableContents"/>
              <w:bidi w:val="0"/>
              <w:spacing w:before="0" w:after="283"/>
              <w:jc w:val="start"/>
              <w:rPr>
                <w:sz w:val="4"/>
                <w:szCs w:val="4"/>
              </w:rPr>
            </w:pPr>
            <w:r>
              <w:rPr>
                <w:sz w:val="4"/>
                <w:szCs w:val="4"/>
              </w:rPr>
            </w:r>
          </w:p>
        </w:tc>
      </w:tr>
      <w:tr>
        <w:trPr/>
        <w:tc>
          <w:tcPr>
            <w:tcW w:w="2014" w:type="dxa"/>
            <w:tcBorders/>
            <w:vAlign w:val="center"/>
          </w:tcPr>
          <w:p>
            <w:pPr>
              <w:pStyle w:val="TableContents"/>
              <w:bidi w:val="0"/>
              <w:spacing w:before="0" w:after="283"/>
              <w:jc w:val="start"/>
              <w:rPr/>
            </w:pPr>
            <w:r>
              <w:rPr/>
              <w:t xml:space="preserve">36 – 40 </w:t>
            </w:r>
          </w:p>
        </w:tc>
        <w:tc>
          <w:tcPr>
            <w:tcW w:w="1148" w:type="dxa"/>
            <w:tcBorders/>
            <w:vAlign w:val="center"/>
          </w:tcPr>
          <w:p>
            <w:pPr>
              <w:pStyle w:val="TableContents"/>
              <w:bidi w:val="0"/>
              <w:spacing w:before="0" w:after="283"/>
              <w:jc w:val="start"/>
              <w:rPr/>
            </w:pPr>
            <w:r>
              <w:rPr/>
              <w:t xml:space="preserve">10 </w:t>
            </w:r>
          </w:p>
        </w:tc>
        <w:tc>
          <w:tcPr>
            <w:tcW w:w="1178" w:type="dxa"/>
            <w:tcBorders/>
            <w:vAlign w:val="center"/>
          </w:tcPr>
          <w:p>
            <w:pPr>
              <w:pStyle w:val="TableContents"/>
              <w:bidi w:val="0"/>
              <w:spacing w:before="0" w:after="283"/>
              <w:jc w:val="start"/>
              <w:rPr/>
            </w:pPr>
            <w:r>
              <w:rPr/>
              <w:t xml:space="preserve">33. 33% </w:t>
            </w:r>
          </w:p>
        </w:tc>
        <w:tc>
          <w:tcPr>
            <w:tcW w:w="779" w:type="dxa"/>
            <w:tcBorders/>
          </w:tcPr>
          <w:p>
            <w:pPr>
              <w:pStyle w:val="TableContents"/>
              <w:bidi w:val="0"/>
              <w:spacing w:before="0" w:after="283"/>
              <w:jc w:val="start"/>
              <w:rPr>
                <w:sz w:val="4"/>
                <w:szCs w:val="4"/>
              </w:rPr>
            </w:pPr>
            <w:r>
              <w:rPr>
                <w:sz w:val="4"/>
                <w:szCs w:val="4"/>
              </w:rPr>
            </w:r>
          </w:p>
        </w:tc>
      </w:tr>
      <w:tr>
        <w:trPr/>
        <w:tc>
          <w:tcPr>
            <w:tcW w:w="2014" w:type="dxa"/>
            <w:tcBorders/>
            <w:vAlign w:val="center"/>
          </w:tcPr>
          <w:p>
            <w:pPr>
              <w:pStyle w:val="TableContents"/>
              <w:bidi w:val="0"/>
              <w:spacing w:before="0" w:after="283"/>
              <w:jc w:val="start"/>
              <w:rPr/>
            </w:pPr>
            <w:r>
              <w:rPr/>
              <w:t xml:space="preserve">Total </w:t>
            </w:r>
          </w:p>
        </w:tc>
        <w:tc>
          <w:tcPr>
            <w:tcW w:w="1148" w:type="dxa"/>
            <w:tcBorders/>
            <w:vAlign w:val="center"/>
          </w:tcPr>
          <w:p>
            <w:pPr>
              <w:pStyle w:val="TableContents"/>
              <w:bidi w:val="0"/>
              <w:spacing w:before="0" w:after="283"/>
              <w:jc w:val="start"/>
              <w:rPr/>
            </w:pPr>
            <w:r>
              <w:rPr/>
              <w:t xml:space="preserve">30 </w:t>
            </w:r>
          </w:p>
        </w:tc>
        <w:tc>
          <w:tcPr>
            <w:tcW w:w="1178" w:type="dxa"/>
            <w:tcBorders/>
            <w:vAlign w:val="center"/>
          </w:tcPr>
          <w:p>
            <w:pPr>
              <w:pStyle w:val="TableContents"/>
              <w:bidi w:val="0"/>
              <w:spacing w:before="0" w:after="283"/>
              <w:jc w:val="start"/>
              <w:rPr/>
            </w:pPr>
            <w:r>
              <w:rPr/>
              <w:t xml:space="preserve">100% </w:t>
            </w:r>
          </w:p>
        </w:tc>
        <w:tc>
          <w:tcPr>
            <w:tcW w:w="779" w:type="dxa"/>
            <w:tcBorders/>
          </w:tcPr>
          <w:p>
            <w:pPr>
              <w:pStyle w:val="TableContents"/>
              <w:bidi w:val="0"/>
              <w:spacing w:before="0" w:after="283"/>
              <w:jc w:val="start"/>
              <w:rPr>
                <w:sz w:val="4"/>
                <w:szCs w:val="4"/>
              </w:rPr>
            </w:pPr>
            <w:r>
              <w:rPr>
                <w:sz w:val="4"/>
                <w:szCs w:val="4"/>
              </w:rPr>
            </w:r>
          </w:p>
        </w:tc>
      </w:tr>
      <w:tr>
        <w:trPr/>
        <w:tc>
          <w:tcPr>
            <w:tcW w:w="2014" w:type="dxa"/>
            <w:tcBorders/>
            <w:vAlign w:val="center"/>
          </w:tcPr>
          <w:p>
            <w:pPr>
              <w:pStyle w:val="TableContents"/>
              <w:bidi w:val="0"/>
              <w:spacing w:before="0" w:after="283"/>
              <w:jc w:val="start"/>
              <w:rPr/>
            </w:pPr>
            <w:r>
              <w:rPr/>
              <w:t xml:space="preserve">Type of abortion </w:t>
            </w:r>
          </w:p>
        </w:tc>
        <w:tc>
          <w:tcPr>
            <w:tcW w:w="1148" w:type="dxa"/>
            <w:tcBorders/>
            <w:vAlign w:val="center"/>
          </w:tcPr>
          <w:p>
            <w:pPr>
              <w:pStyle w:val="TableContents"/>
              <w:bidi w:val="0"/>
              <w:spacing w:before="0" w:after="283"/>
              <w:jc w:val="start"/>
              <w:rPr/>
            </w:pPr>
            <w:r>
              <w:rPr/>
              <w:t xml:space="preserve">Habitual </w:t>
            </w:r>
          </w:p>
        </w:tc>
        <w:tc>
          <w:tcPr>
            <w:tcW w:w="1178" w:type="dxa"/>
            <w:tcBorders/>
            <w:vAlign w:val="center"/>
          </w:tcPr>
          <w:p>
            <w:pPr>
              <w:pStyle w:val="TableContents"/>
              <w:bidi w:val="0"/>
              <w:spacing w:before="0" w:after="283"/>
              <w:jc w:val="start"/>
              <w:rPr/>
            </w:pPr>
            <w:r>
              <w:rPr/>
              <w:t xml:space="preserve">8 </w:t>
            </w:r>
          </w:p>
        </w:tc>
        <w:tc>
          <w:tcPr>
            <w:tcW w:w="779" w:type="dxa"/>
            <w:tcBorders/>
            <w:vAlign w:val="center"/>
          </w:tcPr>
          <w:p>
            <w:pPr>
              <w:pStyle w:val="TableContents"/>
              <w:bidi w:val="0"/>
              <w:spacing w:before="0" w:after="283"/>
              <w:jc w:val="start"/>
              <w:rPr/>
            </w:pPr>
            <w:r>
              <w:rPr/>
              <w:t xml:space="preserve">26. 67% </w:t>
            </w:r>
          </w:p>
        </w:tc>
      </w:tr>
      <w:tr>
        <w:trPr/>
        <w:tc>
          <w:tcPr>
            <w:tcW w:w="2014" w:type="dxa"/>
            <w:tcBorders/>
            <w:vAlign w:val="center"/>
          </w:tcPr>
          <w:p>
            <w:pPr>
              <w:pStyle w:val="TableContents"/>
              <w:bidi w:val="0"/>
              <w:spacing w:before="0" w:after="283"/>
              <w:jc w:val="start"/>
              <w:rPr/>
            </w:pPr>
            <w:r>
              <w:rPr/>
              <w:t xml:space="preserve">Induced </w:t>
            </w:r>
          </w:p>
        </w:tc>
        <w:tc>
          <w:tcPr>
            <w:tcW w:w="1148" w:type="dxa"/>
            <w:tcBorders/>
            <w:vAlign w:val="center"/>
          </w:tcPr>
          <w:p>
            <w:pPr>
              <w:pStyle w:val="TableContents"/>
              <w:bidi w:val="0"/>
              <w:spacing w:before="0" w:after="283"/>
              <w:jc w:val="start"/>
              <w:rPr/>
            </w:pPr>
            <w:r>
              <w:rPr/>
              <w:t xml:space="preserve">22 </w:t>
            </w:r>
          </w:p>
        </w:tc>
        <w:tc>
          <w:tcPr>
            <w:tcW w:w="1178" w:type="dxa"/>
            <w:tcBorders/>
            <w:vAlign w:val="center"/>
          </w:tcPr>
          <w:p>
            <w:pPr>
              <w:pStyle w:val="TableContents"/>
              <w:bidi w:val="0"/>
              <w:spacing w:before="0" w:after="283"/>
              <w:jc w:val="start"/>
              <w:rPr/>
            </w:pPr>
            <w:r>
              <w:rPr/>
              <w:t xml:space="preserve">73. 33% </w:t>
            </w:r>
          </w:p>
        </w:tc>
        <w:tc>
          <w:tcPr>
            <w:tcW w:w="779" w:type="dxa"/>
            <w:tcBorders/>
          </w:tcPr>
          <w:p>
            <w:pPr>
              <w:pStyle w:val="TableContents"/>
              <w:bidi w:val="0"/>
              <w:spacing w:before="0" w:after="283"/>
              <w:jc w:val="start"/>
              <w:rPr>
                <w:sz w:val="4"/>
                <w:szCs w:val="4"/>
              </w:rPr>
            </w:pPr>
            <w:r>
              <w:rPr>
                <w:sz w:val="4"/>
                <w:szCs w:val="4"/>
              </w:rPr>
            </w:r>
          </w:p>
        </w:tc>
      </w:tr>
      <w:tr>
        <w:trPr/>
        <w:tc>
          <w:tcPr>
            <w:tcW w:w="2014" w:type="dxa"/>
            <w:tcBorders/>
            <w:vAlign w:val="center"/>
          </w:tcPr>
          <w:p>
            <w:pPr>
              <w:pStyle w:val="TableContents"/>
              <w:bidi w:val="0"/>
              <w:spacing w:before="0" w:after="283"/>
              <w:jc w:val="start"/>
              <w:rPr/>
            </w:pPr>
            <w:r>
              <w:rPr/>
              <w:t xml:space="preserve">Total </w:t>
            </w:r>
          </w:p>
        </w:tc>
        <w:tc>
          <w:tcPr>
            <w:tcW w:w="1148" w:type="dxa"/>
            <w:tcBorders/>
            <w:vAlign w:val="center"/>
          </w:tcPr>
          <w:p>
            <w:pPr>
              <w:pStyle w:val="TableContents"/>
              <w:bidi w:val="0"/>
              <w:spacing w:before="0" w:after="283"/>
              <w:jc w:val="start"/>
              <w:rPr/>
            </w:pPr>
            <w:r>
              <w:rPr/>
              <w:t xml:space="preserve">30 </w:t>
            </w:r>
          </w:p>
        </w:tc>
        <w:tc>
          <w:tcPr>
            <w:tcW w:w="1178" w:type="dxa"/>
            <w:tcBorders/>
            <w:vAlign w:val="center"/>
          </w:tcPr>
          <w:p>
            <w:pPr>
              <w:pStyle w:val="TableContents"/>
              <w:bidi w:val="0"/>
              <w:spacing w:before="0" w:after="283"/>
              <w:jc w:val="start"/>
              <w:rPr/>
            </w:pPr>
            <w:r>
              <w:rPr/>
              <w:t xml:space="preserve">100% </w:t>
            </w:r>
          </w:p>
        </w:tc>
        <w:tc>
          <w:tcPr>
            <w:tcW w:w="779"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Types of aerobic bacteria isolated from specimens collected at complete stage of abortion were </w:t>
      </w:r>
      <w:r>
        <w:rPr>
          <w:rStyle w:val="Emphasis"/>
        </w:rPr>
        <w:t xml:space="preserve">Staphylococcus epidermidis </w:t>
      </w:r>
      <w:r>
        <w:rPr/>
        <w:t xml:space="preserve">, </w:t>
      </w:r>
      <w:r>
        <w:rPr>
          <w:rStyle w:val="Emphasis"/>
        </w:rPr>
        <w:t xml:space="preserve">Klebseilla ozaenae, Staphylococcus aureus </w:t>
      </w:r>
      <w:r>
        <w:rPr/>
        <w:t xml:space="preserve">, </w:t>
      </w:r>
      <w:r>
        <w:rPr>
          <w:rStyle w:val="Emphasis"/>
        </w:rPr>
        <w:t xml:space="preserve">Escherichia coli </w:t>
      </w:r>
      <w:r>
        <w:rPr/>
        <w:t xml:space="preserve">and </w:t>
      </w:r>
      <w:r>
        <w:rPr>
          <w:rStyle w:val="Emphasis"/>
        </w:rPr>
        <w:t xml:space="preserve">Proteus mirabilis </w:t>
      </w:r>
      <w:r>
        <w:rPr/>
        <w:t xml:space="preserve">. </w:t>
      </w:r>
      <w:r>
        <w:rPr>
          <w:rStyle w:val="Emphasis"/>
        </w:rPr>
        <w:t xml:space="preserve">Staphylococcus epidermidis </w:t>
      </w:r>
      <w:r>
        <w:rPr/>
        <w:t xml:space="preserve">was isolated from both initial stage and complete stage of abortion. It was isolated from 14 specimens out of 19 specimens, Table (3). </w:t>
      </w:r>
    </w:p>
    <w:p>
      <w:pPr>
        <w:pStyle w:val="TextBody"/>
        <w:bidi w:val="0"/>
        <w:spacing w:before="0" w:after="283"/>
        <w:jc w:val="start"/>
        <w:rPr/>
      </w:pPr>
      <w:r>
        <w:rPr/>
        <w:t xml:space="preserve">Table (3): Number of different bacteria isolate from septic abortion cases from women attending to Khartoum Teaching Hospital. </w:t>
      </w:r>
    </w:p>
    <w:tbl>
      <w:tblPr>
        <w:tblW w:w="5119" w:type="dxa"/>
        <w:jc w:val="start"/>
        <w:tblInd w:w="0" w:type="dxa"/>
        <w:tblLayout w:type="fixed"/>
        <w:tblCellMar>
          <w:top w:w="28" w:type="dxa"/>
          <w:start w:w="28" w:type="dxa"/>
          <w:bottom w:w="28" w:type="dxa"/>
          <w:end w:w="28" w:type="dxa"/>
        </w:tblCellMar>
      </w:tblPr>
      <w:tblGrid>
        <w:gridCol w:w="1246"/>
        <w:gridCol w:w="1576"/>
        <w:gridCol w:w="1111"/>
        <w:gridCol w:w="1186"/>
      </w:tblGrid>
      <w:tr>
        <w:trPr/>
        <w:tc>
          <w:tcPr>
            <w:tcW w:w="1246" w:type="dxa"/>
            <w:tcBorders/>
            <w:vAlign w:val="center"/>
          </w:tcPr>
          <w:p>
            <w:pPr>
              <w:pStyle w:val="TableContents"/>
              <w:bidi w:val="0"/>
              <w:spacing w:before="0" w:after="283"/>
              <w:jc w:val="start"/>
              <w:rPr/>
            </w:pPr>
            <w:r>
              <w:rPr/>
              <w:t xml:space="preserve">Parameter </w:t>
            </w:r>
          </w:p>
        </w:tc>
        <w:tc>
          <w:tcPr>
            <w:tcW w:w="1576" w:type="dxa"/>
            <w:tcBorders/>
            <w:vAlign w:val="center"/>
          </w:tcPr>
          <w:p>
            <w:pPr>
              <w:pStyle w:val="TableContents"/>
              <w:bidi w:val="0"/>
              <w:spacing w:before="0" w:after="283"/>
              <w:jc w:val="start"/>
              <w:rPr/>
            </w:pPr>
            <w:r>
              <w:rPr/>
              <w:t xml:space="preserve">Organism isolated </w:t>
            </w:r>
          </w:p>
        </w:tc>
        <w:tc>
          <w:tcPr>
            <w:tcW w:w="1111" w:type="dxa"/>
            <w:tcBorders/>
            <w:vAlign w:val="center"/>
          </w:tcPr>
          <w:p>
            <w:pPr>
              <w:pStyle w:val="TableContents"/>
              <w:bidi w:val="0"/>
              <w:spacing w:before="0" w:after="283"/>
              <w:jc w:val="start"/>
              <w:rPr/>
            </w:pPr>
            <w:r>
              <w:rPr/>
              <w:t xml:space="preserve">Frequency </w:t>
            </w:r>
          </w:p>
        </w:tc>
        <w:tc>
          <w:tcPr>
            <w:tcW w:w="1186" w:type="dxa"/>
            <w:tcBorders/>
            <w:vAlign w:val="center"/>
          </w:tcPr>
          <w:p>
            <w:pPr>
              <w:pStyle w:val="TableContents"/>
              <w:bidi w:val="0"/>
              <w:spacing w:before="0" w:after="283"/>
              <w:jc w:val="start"/>
              <w:rPr/>
            </w:pPr>
            <w:r>
              <w:rPr/>
              <w:t xml:space="preserve">Percentage </w:t>
            </w:r>
          </w:p>
        </w:tc>
      </w:tr>
      <w:tr>
        <w:trPr/>
        <w:tc>
          <w:tcPr>
            <w:tcW w:w="1246" w:type="dxa"/>
            <w:tcBorders/>
            <w:vAlign w:val="center"/>
          </w:tcPr>
          <w:p>
            <w:pPr>
              <w:pStyle w:val="TableContents"/>
              <w:bidi w:val="0"/>
              <w:spacing w:before="0" w:after="283"/>
              <w:jc w:val="start"/>
              <w:rPr/>
            </w:pPr>
            <w:r>
              <w:rPr/>
              <w:t xml:space="preserve">Organism isolated from complete stage of abortion </w:t>
            </w:r>
          </w:p>
        </w:tc>
        <w:tc>
          <w:tcPr>
            <w:tcW w:w="1576" w:type="dxa"/>
            <w:tcBorders/>
            <w:vAlign w:val="center"/>
          </w:tcPr>
          <w:p>
            <w:pPr>
              <w:pStyle w:val="TableContents"/>
              <w:bidi w:val="0"/>
              <w:spacing w:before="0" w:after="283"/>
              <w:jc w:val="start"/>
              <w:rPr/>
            </w:pPr>
            <w:r>
              <w:rPr>
                <w:rStyle w:val="Emphasis"/>
              </w:rPr>
              <w:t xml:space="preserve">Staphylococcus epidermidis </w:t>
            </w:r>
          </w:p>
        </w:tc>
        <w:tc>
          <w:tcPr>
            <w:tcW w:w="1111" w:type="dxa"/>
            <w:tcBorders/>
            <w:vAlign w:val="center"/>
          </w:tcPr>
          <w:p>
            <w:pPr>
              <w:pStyle w:val="TableContents"/>
              <w:bidi w:val="0"/>
              <w:spacing w:before="0" w:after="283"/>
              <w:jc w:val="start"/>
              <w:rPr/>
            </w:pPr>
            <w:r>
              <w:rPr/>
              <w:t xml:space="preserve">6 </w:t>
            </w:r>
          </w:p>
        </w:tc>
        <w:tc>
          <w:tcPr>
            <w:tcW w:w="1186" w:type="dxa"/>
            <w:tcBorders/>
            <w:vAlign w:val="center"/>
          </w:tcPr>
          <w:p>
            <w:pPr>
              <w:pStyle w:val="TableContents"/>
              <w:bidi w:val="0"/>
              <w:spacing w:before="0" w:after="283"/>
              <w:jc w:val="start"/>
              <w:rPr/>
            </w:pPr>
            <w:r>
              <w:rPr/>
              <w:t xml:space="preserve">54. 5% </w:t>
            </w:r>
          </w:p>
        </w:tc>
      </w:tr>
      <w:tr>
        <w:trPr/>
        <w:tc>
          <w:tcPr>
            <w:tcW w:w="1246" w:type="dxa"/>
            <w:tcBorders/>
            <w:vAlign w:val="center"/>
          </w:tcPr>
          <w:p>
            <w:pPr>
              <w:pStyle w:val="TableContents"/>
              <w:bidi w:val="0"/>
              <w:spacing w:before="0" w:after="283"/>
              <w:jc w:val="start"/>
              <w:rPr/>
            </w:pPr>
            <w:r>
              <w:rPr>
                <w:rStyle w:val="Emphasis"/>
              </w:rPr>
              <w:t xml:space="preserve">Klebsiella ozaenae </w:t>
            </w:r>
          </w:p>
        </w:tc>
        <w:tc>
          <w:tcPr>
            <w:tcW w:w="1576" w:type="dxa"/>
            <w:tcBorders/>
            <w:vAlign w:val="center"/>
          </w:tcPr>
          <w:p>
            <w:pPr>
              <w:pStyle w:val="TableContents"/>
              <w:bidi w:val="0"/>
              <w:spacing w:before="0" w:after="283"/>
              <w:jc w:val="start"/>
              <w:rPr/>
            </w:pPr>
            <w:r>
              <w:rPr/>
              <w:t xml:space="preserve">2 </w:t>
            </w:r>
          </w:p>
        </w:tc>
        <w:tc>
          <w:tcPr>
            <w:tcW w:w="1111" w:type="dxa"/>
            <w:tcBorders/>
            <w:vAlign w:val="center"/>
          </w:tcPr>
          <w:p>
            <w:pPr>
              <w:pStyle w:val="TableContents"/>
              <w:bidi w:val="0"/>
              <w:spacing w:before="0" w:after="283"/>
              <w:jc w:val="start"/>
              <w:rPr/>
            </w:pPr>
            <w:r>
              <w:rPr/>
              <w:t xml:space="preserve">18. 2% </w:t>
            </w:r>
          </w:p>
        </w:tc>
        <w:tc>
          <w:tcPr>
            <w:tcW w:w="1186" w:type="dxa"/>
            <w:tcBorders/>
          </w:tcPr>
          <w:p>
            <w:pPr>
              <w:pStyle w:val="TableContents"/>
              <w:bidi w:val="0"/>
              <w:spacing w:before="0" w:after="283"/>
              <w:jc w:val="start"/>
              <w:rPr>
                <w:sz w:val="4"/>
                <w:szCs w:val="4"/>
              </w:rPr>
            </w:pPr>
            <w:r>
              <w:rPr>
                <w:sz w:val="4"/>
                <w:szCs w:val="4"/>
              </w:rPr>
            </w:r>
          </w:p>
        </w:tc>
      </w:tr>
      <w:tr>
        <w:trPr/>
        <w:tc>
          <w:tcPr>
            <w:tcW w:w="1246" w:type="dxa"/>
            <w:tcBorders/>
            <w:vAlign w:val="center"/>
          </w:tcPr>
          <w:p>
            <w:pPr>
              <w:pStyle w:val="TableContents"/>
              <w:bidi w:val="0"/>
              <w:spacing w:before="0" w:after="283"/>
              <w:jc w:val="start"/>
              <w:rPr/>
            </w:pPr>
            <w:r>
              <w:rPr>
                <w:rStyle w:val="Emphasis"/>
              </w:rPr>
              <w:t xml:space="preserve">Staph </w:t>
            </w:r>
            <w:r>
              <w:rPr/>
              <w:t xml:space="preserve">. </w:t>
            </w:r>
            <w:r>
              <w:rPr>
                <w:rStyle w:val="Emphasis"/>
              </w:rPr>
              <w:t xml:space="preserve">aureus </w:t>
            </w:r>
          </w:p>
        </w:tc>
        <w:tc>
          <w:tcPr>
            <w:tcW w:w="1576" w:type="dxa"/>
            <w:tcBorders/>
            <w:vAlign w:val="center"/>
          </w:tcPr>
          <w:p>
            <w:pPr>
              <w:pStyle w:val="TableContents"/>
              <w:bidi w:val="0"/>
              <w:spacing w:before="0" w:after="283"/>
              <w:jc w:val="start"/>
              <w:rPr/>
            </w:pPr>
            <w:r>
              <w:rPr/>
              <w:t xml:space="preserve">1 </w:t>
            </w:r>
          </w:p>
        </w:tc>
        <w:tc>
          <w:tcPr>
            <w:tcW w:w="1111" w:type="dxa"/>
            <w:tcBorders/>
            <w:vAlign w:val="center"/>
          </w:tcPr>
          <w:p>
            <w:pPr>
              <w:pStyle w:val="TableContents"/>
              <w:bidi w:val="0"/>
              <w:spacing w:before="0" w:after="283"/>
              <w:jc w:val="start"/>
              <w:rPr/>
            </w:pPr>
            <w:r>
              <w:rPr/>
              <w:t xml:space="preserve">9. 1% </w:t>
            </w:r>
          </w:p>
        </w:tc>
        <w:tc>
          <w:tcPr>
            <w:tcW w:w="1186" w:type="dxa"/>
            <w:tcBorders/>
          </w:tcPr>
          <w:p>
            <w:pPr>
              <w:pStyle w:val="TableContents"/>
              <w:bidi w:val="0"/>
              <w:spacing w:before="0" w:after="283"/>
              <w:jc w:val="start"/>
              <w:rPr>
                <w:sz w:val="4"/>
                <w:szCs w:val="4"/>
              </w:rPr>
            </w:pPr>
            <w:r>
              <w:rPr>
                <w:sz w:val="4"/>
                <w:szCs w:val="4"/>
              </w:rPr>
            </w:r>
          </w:p>
        </w:tc>
      </w:tr>
      <w:tr>
        <w:trPr/>
        <w:tc>
          <w:tcPr>
            <w:tcW w:w="1246" w:type="dxa"/>
            <w:tcBorders/>
            <w:vAlign w:val="center"/>
          </w:tcPr>
          <w:p>
            <w:pPr>
              <w:pStyle w:val="TableContents"/>
              <w:bidi w:val="0"/>
              <w:spacing w:before="0" w:after="283"/>
              <w:jc w:val="start"/>
              <w:rPr/>
            </w:pPr>
            <w:r>
              <w:rPr>
                <w:rStyle w:val="Emphasis"/>
              </w:rPr>
              <w:t xml:space="preserve">Escherichia coli </w:t>
            </w:r>
          </w:p>
        </w:tc>
        <w:tc>
          <w:tcPr>
            <w:tcW w:w="1576" w:type="dxa"/>
            <w:tcBorders/>
            <w:vAlign w:val="center"/>
          </w:tcPr>
          <w:p>
            <w:pPr>
              <w:pStyle w:val="TableContents"/>
              <w:bidi w:val="0"/>
              <w:spacing w:before="0" w:after="283"/>
              <w:jc w:val="start"/>
              <w:rPr/>
            </w:pPr>
            <w:r>
              <w:rPr/>
              <w:t xml:space="preserve">1 </w:t>
            </w:r>
          </w:p>
        </w:tc>
        <w:tc>
          <w:tcPr>
            <w:tcW w:w="1111" w:type="dxa"/>
            <w:tcBorders/>
            <w:vAlign w:val="center"/>
          </w:tcPr>
          <w:p>
            <w:pPr>
              <w:pStyle w:val="TableContents"/>
              <w:bidi w:val="0"/>
              <w:spacing w:before="0" w:after="283"/>
              <w:jc w:val="start"/>
              <w:rPr/>
            </w:pPr>
            <w:r>
              <w:rPr/>
              <w:t xml:space="preserve">9. 1% </w:t>
            </w:r>
          </w:p>
        </w:tc>
        <w:tc>
          <w:tcPr>
            <w:tcW w:w="1186" w:type="dxa"/>
            <w:tcBorders/>
          </w:tcPr>
          <w:p>
            <w:pPr>
              <w:pStyle w:val="TableContents"/>
              <w:bidi w:val="0"/>
              <w:spacing w:before="0" w:after="283"/>
              <w:jc w:val="start"/>
              <w:rPr>
                <w:sz w:val="4"/>
                <w:szCs w:val="4"/>
              </w:rPr>
            </w:pPr>
            <w:r>
              <w:rPr>
                <w:sz w:val="4"/>
                <w:szCs w:val="4"/>
              </w:rPr>
            </w:r>
          </w:p>
        </w:tc>
      </w:tr>
      <w:tr>
        <w:trPr/>
        <w:tc>
          <w:tcPr>
            <w:tcW w:w="1246" w:type="dxa"/>
            <w:tcBorders/>
            <w:vAlign w:val="center"/>
          </w:tcPr>
          <w:p>
            <w:pPr>
              <w:pStyle w:val="TableContents"/>
              <w:bidi w:val="0"/>
              <w:spacing w:before="0" w:after="283"/>
              <w:jc w:val="start"/>
              <w:rPr/>
            </w:pPr>
            <w:r>
              <w:rPr>
                <w:rStyle w:val="Emphasis"/>
              </w:rPr>
              <w:t xml:space="preserve">Proteus mirabilis </w:t>
            </w:r>
          </w:p>
        </w:tc>
        <w:tc>
          <w:tcPr>
            <w:tcW w:w="1576" w:type="dxa"/>
            <w:tcBorders/>
            <w:vAlign w:val="center"/>
          </w:tcPr>
          <w:p>
            <w:pPr>
              <w:pStyle w:val="TableContents"/>
              <w:bidi w:val="0"/>
              <w:spacing w:before="0" w:after="283"/>
              <w:jc w:val="start"/>
              <w:rPr/>
            </w:pPr>
            <w:r>
              <w:rPr/>
              <w:t xml:space="preserve">1 </w:t>
            </w:r>
          </w:p>
        </w:tc>
        <w:tc>
          <w:tcPr>
            <w:tcW w:w="1111" w:type="dxa"/>
            <w:tcBorders/>
            <w:vAlign w:val="center"/>
          </w:tcPr>
          <w:p>
            <w:pPr>
              <w:pStyle w:val="TableContents"/>
              <w:bidi w:val="0"/>
              <w:spacing w:before="0" w:after="283"/>
              <w:jc w:val="start"/>
              <w:rPr/>
            </w:pPr>
            <w:r>
              <w:rPr/>
              <w:t xml:space="preserve">9. 1% </w:t>
            </w:r>
          </w:p>
        </w:tc>
        <w:tc>
          <w:tcPr>
            <w:tcW w:w="1186" w:type="dxa"/>
            <w:tcBorders/>
          </w:tcPr>
          <w:p>
            <w:pPr>
              <w:pStyle w:val="TableContents"/>
              <w:bidi w:val="0"/>
              <w:spacing w:before="0" w:after="283"/>
              <w:jc w:val="start"/>
              <w:rPr>
                <w:sz w:val="4"/>
                <w:szCs w:val="4"/>
              </w:rPr>
            </w:pPr>
            <w:r>
              <w:rPr>
                <w:sz w:val="4"/>
                <w:szCs w:val="4"/>
              </w:rPr>
            </w:r>
          </w:p>
        </w:tc>
      </w:tr>
      <w:tr>
        <w:trPr/>
        <w:tc>
          <w:tcPr>
            <w:tcW w:w="1246" w:type="dxa"/>
            <w:tcBorders/>
            <w:vAlign w:val="center"/>
          </w:tcPr>
          <w:p>
            <w:pPr>
              <w:pStyle w:val="TableContents"/>
              <w:bidi w:val="0"/>
              <w:spacing w:before="0" w:after="283"/>
              <w:jc w:val="start"/>
              <w:rPr/>
            </w:pPr>
            <w:r>
              <w:rPr/>
              <w:t xml:space="preserve">Total </w:t>
            </w:r>
          </w:p>
        </w:tc>
        <w:tc>
          <w:tcPr>
            <w:tcW w:w="1576" w:type="dxa"/>
            <w:tcBorders/>
            <w:vAlign w:val="center"/>
          </w:tcPr>
          <w:p>
            <w:pPr>
              <w:pStyle w:val="TableContents"/>
              <w:bidi w:val="0"/>
              <w:spacing w:before="0" w:after="283"/>
              <w:jc w:val="start"/>
              <w:rPr/>
            </w:pPr>
            <w:r>
              <w:rPr/>
              <w:t xml:space="preserve">11 </w:t>
            </w:r>
          </w:p>
        </w:tc>
        <w:tc>
          <w:tcPr>
            <w:tcW w:w="1111" w:type="dxa"/>
            <w:tcBorders/>
            <w:vAlign w:val="center"/>
          </w:tcPr>
          <w:p>
            <w:pPr>
              <w:pStyle w:val="TableContents"/>
              <w:bidi w:val="0"/>
              <w:spacing w:before="0" w:after="283"/>
              <w:jc w:val="start"/>
              <w:rPr/>
            </w:pPr>
            <w:r>
              <w:rPr/>
              <w:t xml:space="preserve">100% </w:t>
            </w:r>
          </w:p>
        </w:tc>
        <w:tc>
          <w:tcPr>
            <w:tcW w:w="1186" w:type="dxa"/>
            <w:tcBorders/>
          </w:tcPr>
          <w:p>
            <w:pPr>
              <w:pStyle w:val="TableContents"/>
              <w:bidi w:val="0"/>
              <w:spacing w:before="0" w:after="283"/>
              <w:jc w:val="start"/>
              <w:rPr>
                <w:sz w:val="4"/>
                <w:szCs w:val="4"/>
              </w:rPr>
            </w:pPr>
            <w:r>
              <w:rPr>
                <w:sz w:val="4"/>
                <w:szCs w:val="4"/>
              </w:rPr>
            </w:r>
          </w:p>
        </w:tc>
      </w:tr>
      <w:tr>
        <w:trPr/>
        <w:tc>
          <w:tcPr>
            <w:tcW w:w="1246" w:type="dxa"/>
            <w:tcBorders/>
            <w:vAlign w:val="center"/>
          </w:tcPr>
          <w:p>
            <w:pPr>
              <w:pStyle w:val="TableContents"/>
              <w:bidi w:val="0"/>
              <w:spacing w:before="0" w:after="283"/>
              <w:jc w:val="start"/>
              <w:rPr/>
            </w:pPr>
            <w:r>
              <w:rPr/>
              <w:t xml:space="preserve">Organism isolated from initial stage of abortion </w:t>
            </w:r>
          </w:p>
        </w:tc>
        <w:tc>
          <w:tcPr>
            <w:tcW w:w="1576" w:type="dxa"/>
            <w:tcBorders/>
            <w:vAlign w:val="center"/>
          </w:tcPr>
          <w:p>
            <w:pPr>
              <w:pStyle w:val="TableContents"/>
              <w:bidi w:val="0"/>
              <w:spacing w:before="0" w:after="283"/>
              <w:jc w:val="start"/>
              <w:rPr/>
            </w:pPr>
            <w:r>
              <w:rPr>
                <w:rStyle w:val="Emphasis"/>
              </w:rPr>
              <w:t xml:space="preserve">Staphylococcus epidermidis </w:t>
            </w:r>
          </w:p>
        </w:tc>
        <w:tc>
          <w:tcPr>
            <w:tcW w:w="1111" w:type="dxa"/>
            <w:tcBorders/>
            <w:vAlign w:val="center"/>
          </w:tcPr>
          <w:p>
            <w:pPr>
              <w:pStyle w:val="TableContents"/>
              <w:bidi w:val="0"/>
              <w:spacing w:before="0" w:after="283"/>
              <w:jc w:val="start"/>
              <w:rPr/>
            </w:pPr>
            <w:r>
              <w:rPr/>
              <w:t xml:space="preserve">14 </w:t>
            </w:r>
          </w:p>
        </w:tc>
        <w:tc>
          <w:tcPr>
            <w:tcW w:w="1186" w:type="dxa"/>
            <w:tcBorders/>
            <w:vAlign w:val="center"/>
          </w:tcPr>
          <w:p>
            <w:pPr>
              <w:pStyle w:val="TableContents"/>
              <w:bidi w:val="0"/>
              <w:spacing w:before="0" w:after="283"/>
              <w:jc w:val="start"/>
              <w:rPr/>
            </w:pPr>
            <w:r>
              <w:rPr/>
              <w:t xml:space="preserve">73. 68% </w:t>
            </w:r>
          </w:p>
        </w:tc>
      </w:tr>
      <w:tr>
        <w:trPr/>
        <w:tc>
          <w:tcPr>
            <w:tcW w:w="1246" w:type="dxa"/>
            <w:tcBorders/>
            <w:vAlign w:val="center"/>
          </w:tcPr>
          <w:p>
            <w:pPr>
              <w:pStyle w:val="TableContents"/>
              <w:bidi w:val="0"/>
              <w:spacing w:before="0" w:after="283"/>
              <w:jc w:val="start"/>
              <w:rPr/>
            </w:pPr>
            <w:r>
              <w:rPr/>
              <w:t xml:space="preserve">No growth </w:t>
            </w:r>
          </w:p>
        </w:tc>
        <w:tc>
          <w:tcPr>
            <w:tcW w:w="1576" w:type="dxa"/>
            <w:tcBorders/>
            <w:vAlign w:val="center"/>
          </w:tcPr>
          <w:p>
            <w:pPr>
              <w:pStyle w:val="TableContents"/>
              <w:bidi w:val="0"/>
              <w:spacing w:before="0" w:after="283"/>
              <w:jc w:val="start"/>
              <w:rPr/>
            </w:pPr>
            <w:r>
              <w:rPr/>
              <w:t xml:space="preserve">5 </w:t>
            </w:r>
          </w:p>
        </w:tc>
        <w:tc>
          <w:tcPr>
            <w:tcW w:w="1111" w:type="dxa"/>
            <w:tcBorders/>
            <w:vAlign w:val="center"/>
          </w:tcPr>
          <w:p>
            <w:pPr>
              <w:pStyle w:val="TableContents"/>
              <w:bidi w:val="0"/>
              <w:spacing w:before="0" w:after="283"/>
              <w:jc w:val="start"/>
              <w:rPr/>
            </w:pPr>
            <w:r>
              <w:rPr/>
              <w:t xml:space="preserve">26. 32% </w:t>
            </w:r>
          </w:p>
        </w:tc>
        <w:tc>
          <w:tcPr>
            <w:tcW w:w="1186" w:type="dxa"/>
            <w:tcBorders/>
          </w:tcPr>
          <w:p>
            <w:pPr>
              <w:pStyle w:val="TableContents"/>
              <w:bidi w:val="0"/>
              <w:spacing w:before="0" w:after="283"/>
              <w:jc w:val="start"/>
              <w:rPr>
                <w:sz w:val="4"/>
                <w:szCs w:val="4"/>
              </w:rPr>
            </w:pPr>
            <w:r>
              <w:rPr>
                <w:sz w:val="4"/>
                <w:szCs w:val="4"/>
              </w:rPr>
            </w:r>
          </w:p>
        </w:tc>
      </w:tr>
      <w:tr>
        <w:trPr/>
        <w:tc>
          <w:tcPr>
            <w:tcW w:w="1246" w:type="dxa"/>
            <w:tcBorders/>
            <w:vAlign w:val="center"/>
          </w:tcPr>
          <w:p>
            <w:pPr>
              <w:pStyle w:val="TableContents"/>
              <w:bidi w:val="0"/>
              <w:spacing w:before="0" w:after="283"/>
              <w:jc w:val="start"/>
              <w:rPr/>
            </w:pPr>
            <w:r>
              <w:rPr/>
              <w:t xml:space="preserve">Total </w:t>
            </w:r>
          </w:p>
        </w:tc>
        <w:tc>
          <w:tcPr>
            <w:tcW w:w="1576" w:type="dxa"/>
            <w:tcBorders/>
            <w:vAlign w:val="center"/>
          </w:tcPr>
          <w:p>
            <w:pPr>
              <w:pStyle w:val="TableContents"/>
              <w:bidi w:val="0"/>
              <w:spacing w:before="0" w:after="283"/>
              <w:jc w:val="start"/>
              <w:rPr/>
            </w:pPr>
            <w:r>
              <w:rPr/>
              <w:t xml:space="preserve">19 </w:t>
            </w:r>
          </w:p>
        </w:tc>
        <w:tc>
          <w:tcPr>
            <w:tcW w:w="1111" w:type="dxa"/>
            <w:tcBorders/>
            <w:vAlign w:val="center"/>
          </w:tcPr>
          <w:p>
            <w:pPr>
              <w:pStyle w:val="TableContents"/>
              <w:bidi w:val="0"/>
              <w:spacing w:before="0" w:after="283"/>
              <w:jc w:val="start"/>
              <w:rPr/>
            </w:pPr>
            <w:r>
              <w:rPr/>
              <w:t xml:space="preserve">100% </w:t>
            </w:r>
          </w:p>
        </w:tc>
        <w:tc>
          <w:tcPr>
            <w:tcW w:w="1186"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Table(4): Relationship between the age of women, and type of abortion and the time of specimens in Khartoum Teaching Hospital </w:t>
      </w:r>
    </w:p>
    <w:tbl>
      <w:tblPr>
        <w:tblW w:w="5119" w:type="dxa"/>
        <w:jc w:val="start"/>
        <w:tblInd w:w="0" w:type="dxa"/>
        <w:tblLayout w:type="fixed"/>
        <w:tblCellMar>
          <w:top w:w="28" w:type="dxa"/>
          <w:start w:w="28" w:type="dxa"/>
          <w:bottom w:w="28" w:type="dxa"/>
          <w:end w:w="28" w:type="dxa"/>
        </w:tblCellMar>
      </w:tblPr>
      <w:tblGrid>
        <w:gridCol w:w="1587"/>
        <w:gridCol w:w="1183"/>
        <w:gridCol w:w="1005"/>
        <w:gridCol w:w="897"/>
        <w:gridCol w:w="447"/>
      </w:tblGrid>
      <w:tr>
        <w:trPr/>
        <w:tc>
          <w:tcPr>
            <w:tcW w:w="1587" w:type="dxa"/>
            <w:tcBorders/>
            <w:vAlign w:val="center"/>
          </w:tcPr>
          <w:p>
            <w:pPr>
              <w:pStyle w:val="TableContents"/>
              <w:bidi w:val="0"/>
              <w:spacing w:before="0" w:after="283"/>
              <w:jc w:val="start"/>
              <w:rPr/>
            </w:pPr>
            <w:r>
              <w:rPr/>
              <w:t xml:space="preserve">Demographic character </w:t>
            </w:r>
          </w:p>
        </w:tc>
        <w:tc>
          <w:tcPr>
            <w:tcW w:w="1183" w:type="dxa"/>
            <w:tcBorders/>
            <w:vAlign w:val="center"/>
          </w:tcPr>
          <w:p>
            <w:pPr>
              <w:pStyle w:val="TableContents"/>
              <w:bidi w:val="0"/>
              <w:jc w:val="start"/>
              <w:rPr/>
            </w:pPr>
            <w:r>
              <w:rPr/>
              <w:t xml:space="preserve">Complete abortion </w:t>
            </w:r>
          </w:p>
          <w:p>
            <w:pPr>
              <w:pStyle w:val="TableContents"/>
              <w:bidi w:val="0"/>
              <w:spacing w:before="0" w:after="283"/>
              <w:jc w:val="start"/>
              <w:rPr/>
            </w:pPr>
            <w:r>
              <w:rPr/>
              <w:t xml:space="preserve">n(%) </w:t>
            </w:r>
          </w:p>
        </w:tc>
        <w:tc>
          <w:tcPr>
            <w:tcW w:w="1005" w:type="dxa"/>
            <w:tcBorders/>
            <w:vAlign w:val="center"/>
          </w:tcPr>
          <w:p>
            <w:pPr>
              <w:pStyle w:val="TableContents"/>
              <w:bidi w:val="0"/>
              <w:jc w:val="start"/>
              <w:rPr/>
            </w:pPr>
            <w:r>
              <w:rPr/>
              <w:t xml:space="preserve">Initial abortion </w:t>
            </w:r>
          </w:p>
          <w:p>
            <w:pPr>
              <w:pStyle w:val="TableContents"/>
              <w:bidi w:val="0"/>
              <w:spacing w:before="0" w:after="283"/>
              <w:jc w:val="start"/>
              <w:rPr/>
            </w:pPr>
            <w:r>
              <w:rPr/>
              <w:t xml:space="preserve">n(%) </w:t>
            </w:r>
          </w:p>
        </w:tc>
        <w:tc>
          <w:tcPr>
            <w:tcW w:w="897" w:type="dxa"/>
            <w:tcBorders/>
            <w:vAlign w:val="center"/>
          </w:tcPr>
          <w:p>
            <w:pPr>
              <w:pStyle w:val="TableContents"/>
              <w:bidi w:val="0"/>
              <w:spacing w:before="0" w:after="283"/>
              <w:jc w:val="start"/>
              <w:rPr/>
            </w:pPr>
            <w:r>
              <w:rPr/>
              <w:t xml:space="preserve">p-value </w:t>
            </w:r>
          </w:p>
        </w:tc>
        <w:tc>
          <w:tcPr>
            <w:tcW w:w="447" w:type="dxa"/>
            <w:tcBorders/>
          </w:tcPr>
          <w:p>
            <w:pPr>
              <w:pStyle w:val="TableContents"/>
              <w:bidi w:val="0"/>
              <w:spacing w:before="0" w:after="283"/>
              <w:jc w:val="start"/>
              <w:rPr>
                <w:sz w:val="4"/>
                <w:szCs w:val="4"/>
              </w:rPr>
            </w:pPr>
            <w:r>
              <w:rPr>
                <w:sz w:val="4"/>
                <w:szCs w:val="4"/>
              </w:rPr>
            </w:r>
          </w:p>
        </w:tc>
      </w:tr>
      <w:tr>
        <w:trPr/>
        <w:tc>
          <w:tcPr>
            <w:tcW w:w="1587" w:type="dxa"/>
            <w:tcBorders/>
            <w:vAlign w:val="center"/>
          </w:tcPr>
          <w:p>
            <w:pPr>
              <w:pStyle w:val="TableContents"/>
              <w:bidi w:val="0"/>
              <w:spacing w:before="0" w:after="283"/>
              <w:jc w:val="start"/>
              <w:rPr/>
            </w:pPr>
            <w:r>
              <w:rPr/>
              <w:t xml:space="preserve">Age categories </w:t>
            </w:r>
          </w:p>
        </w:tc>
        <w:tc>
          <w:tcPr>
            <w:tcW w:w="1183" w:type="dxa"/>
            <w:tcBorders/>
            <w:vAlign w:val="center"/>
          </w:tcPr>
          <w:p>
            <w:pPr>
              <w:pStyle w:val="TableContents"/>
              <w:bidi w:val="0"/>
              <w:spacing w:before="0" w:after="283"/>
              <w:jc w:val="start"/>
              <w:rPr/>
            </w:pPr>
            <w:r>
              <w:rPr/>
              <w:t xml:space="preserve">20-25 </w:t>
            </w:r>
          </w:p>
        </w:tc>
        <w:tc>
          <w:tcPr>
            <w:tcW w:w="1005" w:type="dxa"/>
            <w:tcBorders/>
            <w:vAlign w:val="center"/>
          </w:tcPr>
          <w:p>
            <w:pPr>
              <w:pStyle w:val="TableContents"/>
              <w:bidi w:val="0"/>
              <w:spacing w:before="0" w:after="283"/>
              <w:jc w:val="start"/>
              <w:rPr/>
            </w:pPr>
            <w:r>
              <w:rPr/>
              <w:t xml:space="preserve">1 (9. 1%) </w:t>
            </w:r>
          </w:p>
        </w:tc>
        <w:tc>
          <w:tcPr>
            <w:tcW w:w="897" w:type="dxa"/>
            <w:tcBorders/>
            <w:vAlign w:val="center"/>
          </w:tcPr>
          <w:p>
            <w:pPr>
              <w:pStyle w:val="TableContents"/>
              <w:bidi w:val="0"/>
              <w:spacing w:before="0" w:after="283"/>
              <w:jc w:val="start"/>
              <w:rPr/>
            </w:pPr>
            <w:r>
              <w:rPr/>
              <w:t xml:space="preserve">3 (15. 8%) </w:t>
            </w:r>
          </w:p>
        </w:tc>
        <w:tc>
          <w:tcPr>
            <w:tcW w:w="447" w:type="dxa"/>
            <w:tcBorders/>
            <w:vAlign w:val="center"/>
          </w:tcPr>
          <w:p>
            <w:pPr>
              <w:pStyle w:val="TableContents"/>
              <w:bidi w:val="0"/>
              <w:spacing w:before="0" w:after="283"/>
              <w:jc w:val="start"/>
              <w:rPr/>
            </w:pPr>
            <w:r>
              <w:rPr/>
              <w:t xml:space="preserve">0. 08 </w:t>
            </w:r>
          </w:p>
        </w:tc>
      </w:tr>
      <w:tr>
        <w:trPr/>
        <w:tc>
          <w:tcPr>
            <w:tcW w:w="1587" w:type="dxa"/>
            <w:tcBorders/>
            <w:vAlign w:val="center"/>
          </w:tcPr>
          <w:p>
            <w:pPr>
              <w:pStyle w:val="TableContents"/>
              <w:bidi w:val="0"/>
              <w:spacing w:before="0" w:after="283"/>
              <w:jc w:val="start"/>
              <w:rPr/>
            </w:pPr>
            <w:r>
              <w:rPr/>
              <w:t xml:space="preserve">26-30 </w:t>
            </w:r>
          </w:p>
        </w:tc>
        <w:tc>
          <w:tcPr>
            <w:tcW w:w="1183" w:type="dxa"/>
            <w:tcBorders/>
            <w:vAlign w:val="center"/>
          </w:tcPr>
          <w:p>
            <w:pPr>
              <w:pStyle w:val="TableContents"/>
              <w:bidi w:val="0"/>
              <w:spacing w:before="0" w:after="283"/>
              <w:jc w:val="start"/>
              <w:rPr/>
            </w:pPr>
            <w:r>
              <w:rPr/>
              <w:t xml:space="preserve">4 (36. 3%) </w:t>
            </w:r>
          </w:p>
        </w:tc>
        <w:tc>
          <w:tcPr>
            <w:tcW w:w="1005" w:type="dxa"/>
            <w:tcBorders/>
            <w:vAlign w:val="center"/>
          </w:tcPr>
          <w:p>
            <w:pPr>
              <w:pStyle w:val="TableContents"/>
              <w:bidi w:val="0"/>
              <w:spacing w:before="0" w:after="283"/>
              <w:jc w:val="start"/>
              <w:rPr/>
            </w:pPr>
            <w:r>
              <w:rPr/>
              <w:t xml:space="preserve">6 (31. 6%) </w:t>
            </w:r>
          </w:p>
        </w:tc>
        <w:tc>
          <w:tcPr>
            <w:tcW w:w="1344" w:type="dxa"/>
            <w:gridSpan w:val="2"/>
            <w:tcBorders/>
          </w:tcPr>
          <w:p>
            <w:pPr>
              <w:pStyle w:val="TableContents"/>
              <w:bidi w:val="0"/>
              <w:spacing w:before="0" w:after="283"/>
              <w:jc w:val="start"/>
              <w:rPr>
                <w:sz w:val="4"/>
                <w:szCs w:val="4"/>
              </w:rPr>
            </w:pPr>
            <w:r>
              <w:rPr>
                <w:sz w:val="4"/>
                <w:szCs w:val="4"/>
              </w:rPr>
            </w:r>
          </w:p>
        </w:tc>
      </w:tr>
      <w:tr>
        <w:trPr/>
        <w:tc>
          <w:tcPr>
            <w:tcW w:w="1587" w:type="dxa"/>
            <w:tcBorders/>
            <w:vAlign w:val="center"/>
          </w:tcPr>
          <w:p>
            <w:pPr>
              <w:pStyle w:val="TableContents"/>
              <w:bidi w:val="0"/>
              <w:spacing w:before="0" w:after="283"/>
              <w:jc w:val="start"/>
              <w:rPr/>
            </w:pPr>
            <w:r>
              <w:rPr/>
              <w:t xml:space="preserve">31-35 </w:t>
            </w:r>
          </w:p>
        </w:tc>
        <w:tc>
          <w:tcPr>
            <w:tcW w:w="1183" w:type="dxa"/>
            <w:tcBorders/>
            <w:vAlign w:val="center"/>
          </w:tcPr>
          <w:p>
            <w:pPr>
              <w:pStyle w:val="TableContents"/>
              <w:bidi w:val="0"/>
              <w:spacing w:before="0" w:after="283"/>
              <w:jc w:val="start"/>
              <w:rPr/>
            </w:pPr>
            <w:r>
              <w:rPr/>
              <w:t xml:space="preserve">2 (18. 2%) </w:t>
            </w:r>
          </w:p>
        </w:tc>
        <w:tc>
          <w:tcPr>
            <w:tcW w:w="1005" w:type="dxa"/>
            <w:tcBorders/>
            <w:vAlign w:val="center"/>
          </w:tcPr>
          <w:p>
            <w:pPr>
              <w:pStyle w:val="TableContents"/>
              <w:bidi w:val="0"/>
              <w:spacing w:before="0" w:after="283"/>
              <w:jc w:val="start"/>
              <w:rPr/>
            </w:pPr>
            <w:r>
              <w:rPr/>
              <w:t xml:space="preserve">4 (21. 1%) </w:t>
            </w:r>
          </w:p>
        </w:tc>
        <w:tc>
          <w:tcPr>
            <w:tcW w:w="1344" w:type="dxa"/>
            <w:gridSpan w:val="2"/>
            <w:tcBorders/>
          </w:tcPr>
          <w:p>
            <w:pPr>
              <w:pStyle w:val="TableContents"/>
              <w:bidi w:val="0"/>
              <w:spacing w:before="0" w:after="283"/>
              <w:jc w:val="start"/>
              <w:rPr>
                <w:sz w:val="4"/>
                <w:szCs w:val="4"/>
              </w:rPr>
            </w:pPr>
            <w:r>
              <w:rPr>
                <w:sz w:val="4"/>
                <w:szCs w:val="4"/>
              </w:rPr>
            </w:r>
          </w:p>
        </w:tc>
      </w:tr>
      <w:tr>
        <w:trPr/>
        <w:tc>
          <w:tcPr>
            <w:tcW w:w="1587" w:type="dxa"/>
            <w:tcBorders/>
            <w:vAlign w:val="center"/>
          </w:tcPr>
          <w:p>
            <w:pPr>
              <w:pStyle w:val="TableContents"/>
              <w:bidi w:val="0"/>
              <w:spacing w:before="0" w:after="283"/>
              <w:jc w:val="start"/>
              <w:rPr/>
            </w:pPr>
            <w:r>
              <w:rPr/>
              <w:t xml:space="preserve">36 – 40 </w:t>
            </w:r>
          </w:p>
        </w:tc>
        <w:tc>
          <w:tcPr>
            <w:tcW w:w="1183" w:type="dxa"/>
            <w:tcBorders/>
            <w:vAlign w:val="center"/>
          </w:tcPr>
          <w:p>
            <w:pPr>
              <w:pStyle w:val="TableContents"/>
              <w:bidi w:val="0"/>
              <w:spacing w:before="0" w:after="283"/>
              <w:jc w:val="start"/>
              <w:rPr/>
            </w:pPr>
            <w:r>
              <w:rPr/>
              <w:t xml:space="preserve">5 (45. 4%) </w:t>
            </w:r>
          </w:p>
        </w:tc>
        <w:tc>
          <w:tcPr>
            <w:tcW w:w="1005" w:type="dxa"/>
            <w:tcBorders/>
            <w:vAlign w:val="center"/>
          </w:tcPr>
          <w:p>
            <w:pPr>
              <w:pStyle w:val="TableContents"/>
              <w:bidi w:val="0"/>
              <w:spacing w:before="0" w:after="283"/>
              <w:jc w:val="start"/>
              <w:rPr/>
            </w:pPr>
            <w:r>
              <w:rPr/>
              <w:t xml:space="preserve">5 (26. 3%) </w:t>
            </w:r>
          </w:p>
        </w:tc>
        <w:tc>
          <w:tcPr>
            <w:tcW w:w="1344" w:type="dxa"/>
            <w:gridSpan w:val="2"/>
            <w:tcBorders/>
          </w:tcPr>
          <w:p>
            <w:pPr>
              <w:pStyle w:val="TableContents"/>
              <w:bidi w:val="0"/>
              <w:spacing w:before="0" w:after="283"/>
              <w:jc w:val="start"/>
              <w:rPr>
                <w:sz w:val="4"/>
                <w:szCs w:val="4"/>
              </w:rPr>
            </w:pPr>
            <w:r>
              <w:rPr>
                <w:sz w:val="4"/>
                <w:szCs w:val="4"/>
              </w:rPr>
            </w:r>
          </w:p>
        </w:tc>
      </w:tr>
      <w:tr>
        <w:trPr/>
        <w:tc>
          <w:tcPr>
            <w:tcW w:w="1587" w:type="dxa"/>
            <w:tcBorders/>
            <w:vAlign w:val="center"/>
          </w:tcPr>
          <w:p>
            <w:pPr>
              <w:pStyle w:val="TableContents"/>
              <w:bidi w:val="0"/>
              <w:spacing w:before="0" w:after="283"/>
              <w:jc w:val="start"/>
              <w:rPr/>
            </w:pPr>
            <w:r>
              <w:rPr/>
              <w:t xml:space="preserve">Type of abortion </w:t>
            </w:r>
          </w:p>
        </w:tc>
        <w:tc>
          <w:tcPr>
            <w:tcW w:w="1183" w:type="dxa"/>
            <w:tcBorders/>
            <w:vAlign w:val="center"/>
          </w:tcPr>
          <w:p>
            <w:pPr>
              <w:pStyle w:val="TableContents"/>
              <w:bidi w:val="0"/>
              <w:spacing w:before="0" w:after="283"/>
              <w:jc w:val="start"/>
              <w:rPr/>
            </w:pPr>
            <w:r>
              <w:rPr/>
              <w:t xml:space="preserve">Habitual </w:t>
            </w:r>
          </w:p>
        </w:tc>
        <w:tc>
          <w:tcPr>
            <w:tcW w:w="1005" w:type="dxa"/>
            <w:tcBorders/>
            <w:vAlign w:val="center"/>
          </w:tcPr>
          <w:p>
            <w:pPr>
              <w:pStyle w:val="TableContents"/>
              <w:bidi w:val="0"/>
              <w:spacing w:before="0" w:after="283"/>
              <w:jc w:val="start"/>
              <w:rPr/>
            </w:pPr>
            <w:r>
              <w:rPr/>
              <w:t xml:space="preserve">3 (27. 27%) </w:t>
            </w:r>
          </w:p>
        </w:tc>
        <w:tc>
          <w:tcPr>
            <w:tcW w:w="897" w:type="dxa"/>
            <w:tcBorders/>
            <w:vAlign w:val="center"/>
          </w:tcPr>
          <w:p>
            <w:pPr>
              <w:pStyle w:val="TableContents"/>
              <w:bidi w:val="0"/>
              <w:spacing w:before="0" w:after="283"/>
              <w:jc w:val="start"/>
              <w:rPr/>
            </w:pPr>
            <w:r>
              <w:rPr/>
              <w:t xml:space="preserve">5 (26. 32%) </w:t>
            </w:r>
          </w:p>
        </w:tc>
        <w:tc>
          <w:tcPr>
            <w:tcW w:w="447" w:type="dxa"/>
            <w:tcBorders/>
            <w:vAlign w:val="center"/>
          </w:tcPr>
          <w:p>
            <w:pPr>
              <w:pStyle w:val="TableContents"/>
              <w:bidi w:val="0"/>
              <w:spacing w:before="0" w:after="283"/>
              <w:jc w:val="start"/>
              <w:rPr/>
            </w:pPr>
            <w:r>
              <w:rPr/>
              <w:t xml:space="preserve">0. 07 </w:t>
            </w:r>
          </w:p>
        </w:tc>
      </w:tr>
      <w:tr>
        <w:trPr/>
        <w:tc>
          <w:tcPr>
            <w:tcW w:w="1587" w:type="dxa"/>
            <w:tcBorders/>
            <w:vAlign w:val="center"/>
          </w:tcPr>
          <w:p>
            <w:pPr>
              <w:pStyle w:val="TableContents"/>
              <w:bidi w:val="0"/>
              <w:spacing w:before="0" w:after="283"/>
              <w:jc w:val="start"/>
              <w:rPr/>
            </w:pPr>
            <w:r>
              <w:rPr/>
              <w:t xml:space="preserve">Induced </w:t>
            </w:r>
          </w:p>
        </w:tc>
        <w:tc>
          <w:tcPr>
            <w:tcW w:w="1183" w:type="dxa"/>
            <w:tcBorders/>
            <w:vAlign w:val="center"/>
          </w:tcPr>
          <w:p>
            <w:pPr>
              <w:pStyle w:val="TableContents"/>
              <w:bidi w:val="0"/>
              <w:spacing w:before="0" w:after="283"/>
              <w:jc w:val="start"/>
              <w:rPr/>
            </w:pPr>
            <w:r>
              <w:rPr/>
              <w:t xml:space="preserve">8 (72. 73) </w:t>
            </w:r>
          </w:p>
        </w:tc>
        <w:tc>
          <w:tcPr>
            <w:tcW w:w="1005" w:type="dxa"/>
            <w:tcBorders/>
            <w:vAlign w:val="center"/>
          </w:tcPr>
          <w:p>
            <w:pPr>
              <w:pStyle w:val="TableContents"/>
              <w:bidi w:val="0"/>
              <w:spacing w:before="0" w:after="283"/>
              <w:jc w:val="start"/>
              <w:rPr/>
            </w:pPr>
            <w:r>
              <w:rPr/>
              <w:t xml:space="preserve">14(73. 68%) </w:t>
            </w:r>
          </w:p>
        </w:tc>
        <w:tc>
          <w:tcPr>
            <w:tcW w:w="1344"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Out of 30 cases involved in this study 11 (36. 67%) cases were caused by aerobic bacteria which may indicate that abortion may be caused by other causative agents than aerobic bacteria. The Percentage of septic abortion have been notably decreased , this is mostly because health care provider contribute significantly to reduce the expose of woman to septic complication by providing surfaces in a safe environment, this is un consistent with other published reviews[9]. </w:t>
      </w:r>
    </w:p>
    <w:p>
      <w:pPr>
        <w:pStyle w:val="TextBody"/>
        <w:bidi w:val="0"/>
        <w:spacing w:before="0" w:after="283"/>
        <w:jc w:val="start"/>
        <w:rPr/>
      </w:pPr>
      <w:r>
        <w:rPr/>
        <w:t xml:space="preserve">The highest incidence were in age group 26-30 also in group36-40 (P &gt; 0. 05) the incidence were high , which is in inconsistent with other published reviews in other countries [9] , but its consistent with the research of (Fawad, et al 2008) who found that the majority of patient were of middle age[8]. Also habitual abortion occupied about (27. 3%) (P &gt; 0. 05) and induced abortion about (72. 7%) (P &gt; 0. 05). </w:t>
      </w:r>
    </w:p>
    <w:p>
      <w:pPr>
        <w:pStyle w:val="TextBody"/>
        <w:bidi w:val="0"/>
        <w:spacing w:before="0" w:after="283"/>
        <w:jc w:val="start"/>
        <w:rPr/>
      </w:pPr>
      <w:r>
        <w:rPr/>
        <w:t xml:space="preserve">Earlier published review showed that most isolated organism was </w:t>
      </w:r>
      <w:r>
        <w:rPr>
          <w:rStyle w:val="Emphasis"/>
        </w:rPr>
        <w:t xml:space="preserve">Escherichia coli </w:t>
      </w:r>
      <w:r>
        <w:rPr/>
        <w:t xml:space="preserve">(20%) , either alone or in combination with other bacteria , which is inconsistent with our study (9. 1%). Also the reviewer isolate </w:t>
      </w:r>
      <w:r>
        <w:rPr>
          <w:rStyle w:val="Emphasis"/>
        </w:rPr>
        <w:t xml:space="preserve">Proteus mirabilis </w:t>
      </w:r>
      <w:r>
        <w:rPr/>
        <w:t xml:space="preserve">in combination with </w:t>
      </w:r>
      <w:r>
        <w:rPr>
          <w:rStyle w:val="Emphasis"/>
        </w:rPr>
        <w:t xml:space="preserve">Escherichia coli </w:t>
      </w:r>
      <w:r>
        <w:rPr/>
        <w:t xml:space="preserve">(6%), in our study we found </w:t>
      </w:r>
      <w:r>
        <w:rPr>
          <w:rStyle w:val="Emphasis"/>
        </w:rPr>
        <w:t xml:space="preserve">Proteus mirabilis </w:t>
      </w:r>
      <w:r>
        <w:rPr/>
        <w:t xml:space="preserve">(9. 1%) [5]. </w:t>
      </w:r>
    </w:p>
    <w:p>
      <w:pPr>
        <w:pStyle w:val="TextBody"/>
        <w:bidi w:val="0"/>
        <w:spacing w:before="0" w:after="283"/>
        <w:jc w:val="start"/>
        <w:rPr/>
      </w:pPr>
      <w:r>
        <w:rPr/>
        <w:t xml:space="preserve">The percentage of </w:t>
      </w:r>
      <w:r>
        <w:rPr>
          <w:rStyle w:val="Emphasis"/>
        </w:rPr>
        <w:t xml:space="preserve">Klebsiella ozaenae </w:t>
      </w:r>
      <w:r>
        <w:rPr/>
        <w:t xml:space="preserve">isolate was (18. 2%) which is higher than pervious study (Isibor, et. al 2011) with percentage of (4. 4%) among pregnant woman [10] </w:t>
      </w:r>
    </w:p>
    <w:p>
      <w:pPr>
        <w:pStyle w:val="TextBody"/>
        <w:bidi w:val="0"/>
        <w:spacing w:before="0" w:after="283"/>
        <w:jc w:val="start"/>
        <w:rPr/>
      </w:pPr>
      <w:r>
        <w:rPr>
          <w:rStyle w:val="Emphasis"/>
        </w:rPr>
        <w:t xml:space="preserve">Staphylococcus aureus </w:t>
      </w:r>
      <w:r>
        <w:rPr/>
        <w:t xml:space="preserve">isolate percentage was (9. 1%) in disagree with study done by (Isibor, </w:t>
      </w:r>
      <w:r>
        <w:rPr>
          <w:rStyle w:val="Emphasis"/>
        </w:rPr>
        <w:t xml:space="preserve">et al </w:t>
      </w:r>
      <w:r>
        <w:rPr/>
        <w:t xml:space="preserve">2011), which found that </w:t>
      </w:r>
      <w:r>
        <w:rPr>
          <w:rStyle w:val="Emphasis"/>
        </w:rPr>
        <w:t xml:space="preserve">Staphylococcus aureus </w:t>
      </w:r>
      <w:r>
        <w:rPr/>
        <w:t xml:space="preserve">occupies about (26. 7%). this may be attributed to immune status of the individual, personal hygiene and the proximity of the vagina to urethra [11].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Atrash H. K., Lawson H. W., Smith J. C., Legal abortion in the US : trends and mortality . Contemp Ob/Gyn, 1990; p35(2); 58-69. </w:t>
      </w:r>
    </w:p>
    <w:p>
      <w:pPr>
        <w:pStyle w:val="TextBody"/>
        <w:numPr>
          <w:ilvl w:val="0"/>
          <w:numId w:val="2"/>
        </w:numPr>
        <w:tabs>
          <w:tab w:val="clear" w:pos="1134"/>
          <w:tab w:val="left" w:pos="709" w:leader="none"/>
        </w:tabs>
        <w:bidi w:val="0"/>
        <w:spacing w:before="0" w:after="0"/>
        <w:ind w:start="709" w:hanging="283"/>
        <w:jc w:val="start"/>
        <w:rPr/>
      </w:pPr>
      <w:r>
        <w:rPr/>
        <w:t xml:space="preserve">jewett J. F., septic induce abortion . N Engl J Med, 1973, p289: 9-748. </w:t>
      </w:r>
    </w:p>
    <w:p>
      <w:pPr>
        <w:pStyle w:val="TextBody"/>
        <w:numPr>
          <w:ilvl w:val="0"/>
          <w:numId w:val="2"/>
        </w:numPr>
        <w:tabs>
          <w:tab w:val="clear" w:pos="1134"/>
          <w:tab w:val="left" w:pos="709" w:leader="none"/>
        </w:tabs>
        <w:bidi w:val="0"/>
        <w:spacing w:before="0" w:after="0"/>
        <w:ind w:start="709" w:hanging="283"/>
        <w:jc w:val="start"/>
        <w:rPr/>
      </w:pPr>
      <w:r>
        <w:rPr/>
        <w:t xml:space="preserve">Cates W . Jr. , Rochat R. W. , Smith J. C. , Taylor C. W. Jr., Trends and national abortion mortality , United State, 1940-1974: implification for prevention of future abortion deaths . Adv Plann Parent 1976, 11: 106-13. </w:t>
      </w:r>
    </w:p>
    <w:p>
      <w:pPr>
        <w:pStyle w:val="TextBody"/>
        <w:numPr>
          <w:ilvl w:val="0"/>
          <w:numId w:val="2"/>
        </w:numPr>
        <w:tabs>
          <w:tab w:val="clear" w:pos="1134"/>
          <w:tab w:val="left" w:pos="709" w:leader="none"/>
        </w:tabs>
        <w:bidi w:val="0"/>
        <w:spacing w:before="0" w:after="0"/>
        <w:ind w:start="709" w:hanging="283"/>
        <w:jc w:val="start"/>
        <w:rPr/>
      </w:pPr>
      <w:r>
        <w:rPr/>
        <w:t xml:space="preserve">Cates W. Jr. , rochat R. W., Ilegal abortion in the united states: 1972-1974. Fam Plann perspect1976; 8: 86-92. </w:t>
      </w:r>
    </w:p>
    <w:p>
      <w:pPr>
        <w:pStyle w:val="TextBody"/>
        <w:numPr>
          <w:ilvl w:val="0"/>
          <w:numId w:val="2"/>
        </w:numPr>
        <w:tabs>
          <w:tab w:val="clear" w:pos="1134"/>
          <w:tab w:val="left" w:pos="709" w:leader="none"/>
        </w:tabs>
        <w:bidi w:val="0"/>
        <w:spacing w:before="0" w:after="0"/>
        <w:ind w:start="709" w:hanging="283"/>
        <w:jc w:val="start"/>
        <w:rPr/>
      </w:pPr>
      <w:r>
        <w:rPr/>
        <w:t xml:space="preserve">Botes M., The Parameters of Septic Abortion, S. A. Journal of obstetrics and gynecology, 11 September 1971, p4 ; 37-41. </w:t>
      </w:r>
    </w:p>
    <w:p>
      <w:pPr>
        <w:pStyle w:val="TextBody"/>
        <w:numPr>
          <w:ilvl w:val="0"/>
          <w:numId w:val="2"/>
        </w:numPr>
        <w:tabs>
          <w:tab w:val="clear" w:pos="1134"/>
          <w:tab w:val="left" w:pos="709" w:leader="none"/>
        </w:tabs>
        <w:bidi w:val="0"/>
        <w:spacing w:before="0" w:after="0"/>
        <w:ind w:start="709" w:hanging="283"/>
        <w:jc w:val="start"/>
        <w:rPr/>
      </w:pPr>
      <w:r>
        <w:rPr/>
        <w:t xml:space="preserve">Sedgh G., Henshaw S., Singh S., Ahman E., and Shah I. H., Induced abortion: estimated rates and trends worldwide. Lancet , 2007 , p370: 1338–1345. </w:t>
      </w:r>
    </w:p>
    <w:p>
      <w:pPr>
        <w:pStyle w:val="TextBody"/>
        <w:numPr>
          <w:ilvl w:val="0"/>
          <w:numId w:val="2"/>
        </w:numPr>
        <w:tabs>
          <w:tab w:val="clear" w:pos="1134"/>
          <w:tab w:val="left" w:pos="709" w:leader="none"/>
        </w:tabs>
        <w:bidi w:val="0"/>
        <w:spacing w:before="0" w:after="0"/>
        <w:ind w:start="709" w:hanging="283"/>
        <w:jc w:val="start"/>
        <w:rPr/>
      </w:pPr>
      <w:r>
        <w:rPr/>
        <w:t xml:space="preserve">Sedgh G., Henshaw S., Singh S., Ahman E., and Shah I. H., Induced abortion: estimated rates and trends worldwide. Lancet , 2007 , p370: 1338–1345. </w:t>
      </w:r>
    </w:p>
    <w:p>
      <w:pPr>
        <w:pStyle w:val="TextBody"/>
        <w:numPr>
          <w:ilvl w:val="0"/>
          <w:numId w:val="2"/>
        </w:numPr>
        <w:tabs>
          <w:tab w:val="clear" w:pos="1134"/>
          <w:tab w:val="left" w:pos="709" w:leader="none"/>
        </w:tabs>
        <w:bidi w:val="0"/>
        <w:spacing w:before="0" w:after="0"/>
        <w:ind w:start="709" w:hanging="283"/>
        <w:jc w:val="start"/>
        <w:rPr/>
      </w:pPr>
      <w:r>
        <w:rPr/>
        <w:t xml:space="preserve">Fawad A., Nazk H., K. Anisa , Septic induced abortion , J. Ayub Med. Coll. Abbottabad , 2008, 20. </w:t>
      </w:r>
    </w:p>
    <w:p>
      <w:pPr>
        <w:pStyle w:val="TextBody"/>
        <w:numPr>
          <w:ilvl w:val="0"/>
          <w:numId w:val="2"/>
        </w:numPr>
        <w:tabs>
          <w:tab w:val="clear" w:pos="1134"/>
          <w:tab w:val="left" w:pos="709" w:leader="none"/>
        </w:tabs>
        <w:bidi w:val="0"/>
        <w:spacing w:before="0" w:after="0"/>
        <w:ind w:start="709" w:hanging="283"/>
        <w:jc w:val="start"/>
        <w:rPr/>
      </w:pPr>
      <w:r>
        <w:rPr/>
        <w:t xml:space="preserve">Osazuwa H., Aziken M., Septic abortion: a review of social and demographic characteristics , Arch. Gynecol. Obstet. , 2007, p 275: 117–119. </w:t>
      </w:r>
    </w:p>
    <w:p>
      <w:pPr>
        <w:pStyle w:val="TextBody"/>
        <w:numPr>
          <w:ilvl w:val="0"/>
          <w:numId w:val="2"/>
        </w:numPr>
        <w:tabs>
          <w:tab w:val="clear" w:pos="1134"/>
          <w:tab w:val="left" w:pos="709" w:leader="none"/>
        </w:tabs>
        <w:bidi w:val="0"/>
        <w:spacing w:before="0" w:after="0"/>
        <w:ind w:start="709" w:hanging="283"/>
        <w:jc w:val="start"/>
        <w:rPr/>
      </w:pPr>
      <w:r>
        <w:rPr/>
        <w:t xml:space="preserve">Isibor J. O., Samuel S. O., Nwaham C. I., Amanre I. N., Igbinovia O., and Akhile A. O., Prevalence of bacterial and Candida albicans infection amongst women attending Irrua Specialist Teaching Hospital, Irrua, Nigeria, African Journal of Microbiology Research, Vol. 30 , September, 2011, p 5(20),. 3126-3130 </w:t>
      </w:r>
    </w:p>
    <w:p>
      <w:pPr>
        <w:pStyle w:val="TextBody"/>
        <w:numPr>
          <w:ilvl w:val="0"/>
          <w:numId w:val="2"/>
        </w:numPr>
        <w:tabs>
          <w:tab w:val="clear" w:pos="1134"/>
          <w:tab w:val="left" w:pos="709" w:leader="none"/>
        </w:tabs>
        <w:bidi w:val="0"/>
        <w:spacing w:before="0" w:after="283"/>
        <w:ind w:start="709" w:hanging="283"/>
        <w:jc w:val="start"/>
        <w:rPr/>
      </w:pPr>
      <w:r>
        <w:rPr/>
        <w:t xml:space="preserve">Rosenow E. C., Studies in Elective Localization, Jour. Dent. Research, vol. 1, No. 3, September, 1919, 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https://assignbuster.com/aerobic-bacteria-associated-with-septic-abortion/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Aerobic bacteria associated with septic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robic-bacteria-associated-with-septic-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Aerobic bacteria associated with septic abortion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Aerobic bacteria associated with septic abortion</dc:title>
  <dc:subject>Others;</dc:subject>
  <dc:creator>AssignBuster</dc:creator>
  <cp:keywords/>
  <dc:description>Additional to that At 1990 a review of deaths due to abortion in the united states noted that 62 percent of the deaths from illegal abortion and 51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