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"https://assignbuster.com/gas-turbine/"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Gas turbine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Rolls Reece’s principal project management stakeholders are their main competitors, General Electric and Pratt &amp; Whitney (owned by United Technologies), Boeing, Airbus, and themselves. GE and Pratt &amp; Whitney would be considered external stakeholders as well as suppliers, and any environmental, political, consumer, and other intervener groups. There are basically six steps to utilize in managing stakeholders.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steps are: assess the environment, identify the goals of the principal actors, assess your own capabilities, define the problem, develop solutions, and test and refine the solutions. I believe that Rolls Royce should develop strategic partnerships with other Jet engine manufacturers. This alliance or consortium would benefit Rolls’ bottom line for years to come. Rolls has projected a 20-year window of growth in the Jet engine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 of a potential market demand for 70, 000 engines with a value of over $400 billion in civil aerospace alone. If Rolls was to spearhead the consortium and present the plan in such a way that all parties would reap huge benefits, all parties would be happy and agreeable.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major drawback I foresee is that world tensions could affect alliances and upset trade agreements. This would adversely affect the alliance and cause the companies to suffer major losses.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https://assignbuster.com/gas-turbine/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Gas turbine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Gas turbine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turbine</dc:title>
  <dc:subject>Business;</dc:subject>
  <dc:creator>AssignBuster</dc:creator>
  <cp:keywords/>
  <dc:description>If Rolls was to spearhead the consortium and present the plan in such a way that all parties would reap huge benefits, all parties would be happy and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