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2-methyl-1-octene c9h18 structure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melting-point">
        <w:r>
          <w:rPr>
            <w:rStyle w:val="a8"/>
          </w:rPr>
          <w:t xml:space="preserve">Experimental Melting Point: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boiling-point">
        <w:r>
          <w:rPr>
            <w:rStyle w:val="a8"/>
          </w:rPr>
          <w:t xml:space="preserve">Experimental Boiling Point: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flash-point">
        <w:r>
          <w:rPr>
            <w:rStyle w:val="a8"/>
          </w:rPr>
          <w:t xml:space="preserve">Experimental Flash Point: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mental-gravity">
        <w:r>
          <w:rPr>
            <w:rStyle w:val="a8"/>
          </w:rPr>
          <w:t xml:space="preserve">Experimental Gravity: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afety">
        <w:r>
          <w:rPr>
            <w:rStyle w:val="a8"/>
          </w:rPr>
          <w:t xml:space="preserve">Safety: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tention-index-kovats">
        <w:r>
          <w:rPr>
            <w:rStyle w:val="a8"/>
          </w:rPr>
          <w:t xml:space="preserve">Retention Index (Kovats):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tention-index-normal-alkane">
        <w:r>
          <w:rPr>
            <w:rStyle w:val="a8"/>
          </w:rPr>
          <w:t xml:space="preserve">Retention Index (Normal Alkane):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tention-index-linear">
        <w:r>
          <w:rPr>
            <w:rStyle w:val="a8"/>
          </w:rPr>
          <w:t xml:space="preserve">Retention Index (Linear):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Contents </w:t>
      </w:r>
    </w:p>
    <w:p>
      <w:pPr>
        <w:pStyle w:val="TextBody"/>
        <w:numPr>
          <w:ilvl w:val="0"/>
          <w:numId w:val="3"/>
        </w:numPr>
        <w:tabs>
          <w:tab w:val="clear" w:pos="1134"/>
          <w:tab w:val="left" w:pos="709" w:leader="none"/>
        </w:tabs>
        <w:bidi w:val="0"/>
        <w:ind w:start="709" w:hanging="283"/>
        <w:jc w:val="start"/>
        <w:rPr/>
      </w:pPr>
      <w:r>
        <w:rPr/>
        <w:t xml:space="preserve">Retention Index (Linear): </w:t>
      </w:r>
    </w:p>
    <w:tbl>
      <w:tblPr>
        <w:tblW w:w="4119" w:type="dxa"/>
        <w:jc w:val="start"/>
        <w:tblInd w:w="0" w:type="dxa"/>
        <w:tblLayout w:type="fixed"/>
        <w:tblCellMar>
          <w:top w:w="28" w:type="dxa"/>
          <w:start w:w="28" w:type="dxa"/>
          <w:bottom w:w="28" w:type="dxa"/>
          <w:end w:w="28" w:type="dxa"/>
        </w:tblCellMar>
      </w:tblPr>
      <w:tblGrid>
        <w:gridCol w:w="1802"/>
        <w:gridCol w:w="2317"/>
      </w:tblGrid>
      <w:tr>
        <w:trPr/>
        <w:tc>
          <w:tcPr>
            <w:tcW w:w="1802" w:type="dxa"/>
            <w:tcBorders/>
            <w:vAlign w:val="center"/>
          </w:tcPr>
          <w:p>
            <w:pPr>
              <w:pStyle w:val="TableContents"/>
              <w:bidi w:val="0"/>
              <w:spacing w:before="0" w:after="283"/>
              <w:jc w:val="start"/>
              <w:rPr/>
            </w:pPr>
            <w:r>
              <w:rPr/>
              <w:t xml:space="preserve">Molecular Formula </w:t>
            </w:r>
          </w:p>
        </w:tc>
        <w:tc>
          <w:tcPr>
            <w:tcW w:w="2317" w:type="dxa"/>
            <w:tcBorders/>
            <w:vAlign w:val="center"/>
          </w:tcPr>
          <w:p>
            <w:pPr>
              <w:pStyle w:val="TableContents"/>
              <w:bidi w:val="0"/>
              <w:spacing w:before="0" w:after="283"/>
              <w:jc w:val="start"/>
              <w:rPr/>
            </w:pPr>
            <w:r>
              <w:rPr/>
              <w:t xml:space="preserve">C </w:t>
            </w:r>
            <w:r>
              <w:rPr>
                <w:position w:val="-2"/>
                <w:sz w:val="19"/>
              </w:rPr>
              <w:t xml:space="preserve">9 </w:t>
            </w:r>
            <w:r>
              <w:rPr/>
              <w:t xml:space="preserve">H </w:t>
            </w:r>
            <w:r>
              <w:rPr>
                <w:position w:val="-2"/>
                <w:sz w:val="19"/>
              </w:rPr>
              <w:t xml:space="preserve">18 </w:t>
            </w:r>
          </w:p>
        </w:tc>
      </w:tr>
      <w:tr>
        <w:trPr/>
        <w:tc>
          <w:tcPr>
            <w:tcW w:w="1802" w:type="dxa"/>
            <w:tcBorders/>
            <w:vAlign w:val="center"/>
          </w:tcPr>
          <w:p>
            <w:pPr>
              <w:pStyle w:val="TableContents"/>
              <w:bidi w:val="0"/>
              <w:spacing w:before="0" w:after="283"/>
              <w:jc w:val="start"/>
              <w:rPr/>
            </w:pPr>
            <w:r>
              <w:rPr/>
              <w:t xml:space="preserve">Average mass </w:t>
            </w:r>
          </w:p>
        </w:tc>
        <w:tc>
          <w:tcPr>
            <w:tcW w:w="2317" w:type="dxa"/>
            <w:tcBorders/>
            <w:vAlign w:val="center"/>
          </w:tcPr>
          <w:p>
            <w:pPr>
              <w:pStyle w:val="TableContents"/>
              <w:bidi w:val="0"/>
              <w:spacing w:before="0" w:after="283"/>
              <w:jc w:val="start"/>
              <w:rPr/>
            </w:pPr>
            <w:r>
              <w:rPr/>
              <w:t xml:space="preserve">126. 239 Da </w:t>
            </w:r>
          </w:p>
        </w:tc>
      </w:tr>
      <w:tr>
        <w:trPr/>
        <w:tc>
          <w:tcPr>
            <w:tcW w:w="1802" w:type="dxa"/>
            <w:tcBorders/>
            <w:vAlign w:val="center"/>
          </w:tcPr>
          <w:p>
            <w:pPr>
              <w:pStyle w:val="TableContents"/>
              <w:bidi w:val="0"/>
              <w:spacing w:before="0" w:after="283"/>
              <w:jc w:val="start"/>
              <w:rPr/>
            </w:pPr>
            <w:r>
              <w:rPr/>
              <w:t xml:space="preserve">Density </w:t>
            </w:r>
          </w:p>
        </w:tc>
        <w:tc>
          <w:tcPr>
            <w:tcW w:w="2317" w:type="dxa"/>
            <w:tcBorders/>
            <w:vAlign w:val="center"/>
          </w:tcPr>
          <w:p>
            <w:pPr>
              <w:pStyle w:val="TableContents"/>
              <w:bidi w:val="0"/>
              <w:spacing w:before="0" w:after="283"/>
              <w:jc w:val="start"/>
              <w:rPr/>
            </w:pPr>
            <w:r>
              <w:rPr/>
              <w:t xml:space="preserve">0. 7±0. 1 g/cm </w:t>
            </w:r>
            <w:r>
              <w:rPr>
                <w:position w:val="8"/>
                <w:sz w:val="19"/>
              </w:rPr>
              <w:t xml:space="preserve">3 </w:t>
            </w:r>
          </w:p>
        </w:tc>
      </w:tr>
      <w:tr>
        <w:trPr/>
        <w:tc>
          <w:tcPr>
            <w:tcW w:w="1802" w:type="dxa"/>
            <w:tcBorders/>
            <w:vAlign w:val="center"/>
          </w:tcPr>
          <w:p>
            <w:pPr>
              <w:pStyle w:val="TableContents"/>
              <w:bidi w:val="0"/>
              <w:spacing w:before="0" w:after="283"/>
              <w:jc w:val="start"/>
              <w:rPr/>
            </w:pPr>
            <w:r>
              <w:rPr/>
              <w:t xml:space="preserve">Boiling Point </w:t>
            </w:r>
          </w:p>
        </w:tc>
        <w:tc>
          <w:tcPr>
            <w:tcW w:w="2317" w:type="dxa"/>
            <w:tcBorders/>
            <w:vAlign w:val="center"/>
          </w:tcPr>
          <w:p>
            <w:pPr>
              <w:pStyle w:val="TableContents"/>
              <w:bidi w:val="0"/>
              <w:spacing w:before="0" w:after="283"/>
              <w:jc w:val="start"/>
              <w:rPr/>
            </w:pPr>
            <w:r>
              <w:rPr/>
              <w:t xml:space="preserve">142. 6±7. 0 °C at 760 mmHg </w:t>
            </w:r>
          </w:p>
        </w:tc>
      </w:tr>
      <w:tr>
        <w:trPr/>
        <w:tc>
          <w:tcPr>
            <w:tcW w:w="1802" w:type="dxa"/>
            <w:tcBorders/>
            <w:vAlign w:val="center"/>
          </w:tcPr>
          <w:p>
            <w:pPr>
              <w:pStyle w:val="TableContents"/>
              <w:bidi w:val="0"/>
              <w:spacing w:before="0" w:after="283"/>
              <w:jc w:val="start"/>
              <w:rPr/>
            </w:pPr>
            <w:r>
              <w:rPr/>
              <w:t xml:space="preserve">Flash Point </w:t>
            </w:r>
          </w:p>
        </w:tc>
        <w:tc>
          <w:tcPr>
            <w:tcW w:w="2317" w:type="dxa"/>
            <w:tcBorders/>
            <w:vAlign w:val="center"/>
          </w:tcPr>
          <w:p>
            <w:pPr>
              <w:pStyle w:val="TableContents"/>
              <w:bidi w:val="0"/>
              <w:spacing w:before="0" w:after="283"/>
              <w:jc w:val="start"/>
              <w:rPr/>
            </w:pPr>
            <w:r>
              <w:rPr/>
              <w:t xml:space="preserve">26. 9±2. 4 °C </w:t>
            </w:r>
          </w:p>
        </w:tc>
      </w:tr>
      <w:tr>
        <w:trPr/>
        <w:tc>
          <w:tcPr>
            <w:tcW w:w="1802" w:type="dxa"/>
            <w:tcBorders/>
            <w:vAlign w:val="center"/>
          </w:tcPr>
          <w:p>
            <w:pPr>
              <w:pStyle w:val="TableContents"/>
              <w:bidi w:val="0"/>
              <w:spacing w:before="0" w:after="283"/>
              <w:jc w:val="start"/>
              <w:rPr/>
            </w:pPr>
            <w:r>
              <w:rPr/>
              <w:t xml:space="preserve">Molar Refractivity </w:t>
            </w:r>
          </w:p>
        </w:tc>
        <w:tc>
          <w:tcPr>
            <w:tcW w:w="2317" w:type="dxa"/>
            <w:tcBorders/>
            <w:vAlign w:val="center"/>
          </w:tcPr>
          <w:p>
            <w:pPr>
              <w:pStyle w:val="TableContents"/>
              <w:bidi w:val="0"/>
              <w:spacing w:before="0" w:after="283"/>
              <w:jc w:val="start"/>
              <w:rPr/>
            </w:pPr>
            <w:r>
              <w:rPr/>
              <w:t xml:space="preserve">43. 3±0. 3 cm </w:t>
            </w:r>
            <w:r>
              <w:rPr>
                <w:position w:val="8"/>
                <w:sz w:val="19"/>
              </w:rPr>
              <w:t xml:space="preserve">3 </w:t>
            </w:r>
          </w:p>
        </w:tc>
      </w:tr>
      <w:tr>
        <w:trPr/>
        <w:tc>
          <w:tcPr>
            <w:tcW w:w="1802" w:type="dxa"/>
            <w:tcBorders/>
            <w:vAlign w:val="center"/>
          </w:tcPr>
          <w:p>
            <w:pPr>
              <w:pStyle w:val="TableContents"/>
              <w:bidi w:val="0"/>
              <w:spacing w:before="0" w:after="283"/>
              <w:jc w:val="start"/>
              <w:rPr/>
            </w:pPr>
            <w:r>
              <w:rPr/>
              <w:t xml:space="preserve">Polarizability </w:t>
            </w:r>
          </w:p>
        </w:tc>
        <w:tc>
          <w:tcPr>
            <w:tcW w:w="2317" w:type="dxa"/>
            <w:tcBorders/>
            <w:vAlign w:val="center"/>
          </w:tcPr>
          <w:p>
            <w:pPr>
              <w:pStyle w:val="TableContents"/>
              <w:bidi w:val="0"/>
              <w:spacing w:before="0" w:after="283"/>
              <w:jc w:val="start"/>
              <w:rPr/>
            </w:pPr>
            <w:r>
              <w:rPr/>
              <w:t xml:space="preserve">17. 2±0. 5 10 </w:t>
            </w:r>
            <w:r>
              <w:rPr>
                <w:position w:val="8"/>
                <w:sz w:val="19"/>
              </w:rPr>
              <w:t xml:space="preserve">-24 </w:t>
            </w:r>
            <w:r>
              <w:rPr/>
              <w:t xml:space="preserve">cm </w:t>
            </w:r>
            <w:r>
              <w:rPr>
                <w:position w:val="8"/>
                <w:sz w:val="19"/>
              </w:rPr>
              <w:t xml:space="preserve">3 </w:t>
            </w:r>
          </w:p>
        </w:tc>
      </w:tr>
      <w:tr>
        <w:trPr/>
        <w:tc>
          <w:tcPr>
            <w:tcW w:w="1802" w:type="dxa"/>
            <w:tcBorders/>
            <w:vAlign w:val="center"/>
          </w:tcPr>
          <w:p>
            <w:pPr>
              <w:pStyle w:val="TableContents"/>
              <w:bidi w:val="0"/>
              <w:spacing w:before="0" w:after="283"/>
              <w:jc w:val="start"/>
              <w:rPr/>
            </w:pPr>
            <w:r>
              <w:rPr/>
              <w:t xml:space="preserve">Surface Tension </w:t>
            </w:r>
          </w:p>
        </w:tc>
        <w:tc>
          <w:tcPr>
            <w:tcW w:w="2317" w:type="dxa"/>
            <w:tcBorders/>
            <w:vAlign w:val="center"/>
          </w:tcPr>
          <w:p>
            <w:pPr>
              <w:pStyle w:val="TableContents"/>
              <w:bidi w:val="0"/>
              <w:spacing w:before="0" w:after="283"/>
              <w:jc w:val="start"/>
              <w:rPr/>
            </w:pPr>
            <w:r>
              <w:rPr/>
              <w:t xml:space="preserve">22. 7±3. 0 dyne/cm </w:t>
            </w:r>
          </w:p>
        </w:tc>
      </w:tr>
      <w:tr>
        <w:trPr/>
        <w:tc>
          <w:tcPr>
            <w:tcW w:w="1802" w:type="dxa"/>
            <w:tcBorders/>
            <w:vAlign w:val="center"/>
          </w:tcPr>
          <w:p>
            <w:pPr>
              <w:pStyle w:val="TableContents"/>
              <w:bidi w:val="0"/>
              <w:spacing w:before="0" w:after="283"/>
              <w:jc w:val="start"/>
              <w:rPr/>
            </w:pPr>
            <w:r>
              <w:rPr/>
              <w:t xml:space="preserve">Molar Volume </w:t>
            </w:r>
          </w:p>
        </w:tc>
        <w:tc>
          <w:tcPr>
            <w:tcW w:w="2317" w:type="dxa"/>
            <w:tcBorders/>
            <w:vAlign w:val="center"/>
          </w:tcPr>
          <w:p>
            <w:pPr>
              <w:pStyle w:val="TableContents"/>
              <w:bidi w:val="0"/>
              <w:spacing w:before="0" w:after="283"/>
              <w:jc w:val="start"/>
              <w:rPr/>
            </w:pPr>
            <w:r>
              <w:rPr/>
              <w:t xml:space="preserve">172. 0±3. 0 cm </w:t>
            </w:r>
            <w:r>
              <w:rPr>
                <w:position w:val="8"/>
                <w:sz w:val="19"/>
              </w:rPr>
              <w:t xml:space="preserve">3 </w:t>
            </w:r>
          </w:p>
        </w:tc>
      </w:tr>
    </w:tbl>
    <w:p>
      <w:pPr>
        <w:pStyle w:val="TextBody"/>
        <w:numPr>
          <w:ilvl w:val="0"/>
          <w:numId w:val="4"/>
        </w:numPr>
        <w:tabs>
          <w:tab w:val="clear" w:pos="1134"/>
          <w:tab w:val="left" w:pos="709" w:leader="none"/>
        </w:tabs>
        <w:bidi w:val="0"/>
        <w:spacing w:before="0" w:after="0"/>
        <w:ind w:start="709" w:hanging="283"/>
        <w:jc w:val="start"/>
        <w:rPr/>
      </w:pPr>
      <w:r>
        <w:rPr/>
        <w:t xml:space="preserve">Experimental data </w:t>
      </w:r>
    </w:p>
    <w:p>
      <w:pPr>
        <w:pStyle w:val="TextBody"/>
        <w:numPr>
          <w:ilvl w:val="0"/>
          <w:numId w:val="4"/>
        </w:numPr>
        <w:tabs>
          <w:tab w:val="clear" w:pos="1134"/>
          <w:tab w:val="left" w:pos="709" w:leader="none"/>
        </w:tabs>
        <w:bidi w:val="0"/>
        <w:spacing w:before="0" w:after="0"/>
        <w:ind w:start="709" w:hanging="283"/>
        <w:jc w:val="start"/>
        <w:rPr/>
      </w:pPr>
      <w:r>
        <w:rPr/>
        <w:t xml:space="preserve">Predicted – ACD/Labs </w:t>
      </w:r>
    </w:p>
    <w:p>
      <w:pPr>
        <w:pStyle w:val="TextBody"/>
        <w:numPr>
          <w:ilvl w:val="0"/>
          <w:numId w:val="4"/>
        </w:numPr>
        <w:tabs>
          <w:tab w:val="clear" w:pos="1134"/>
          <w:tab w:val="left" w:pos="709" w:leader="none"/>
        </w:tabs>
        <w:bidi w:val="0"/>
        <w:spacing w:before="0" w:after="0"/>
        <w:ind w:start="709" w:hanging="283"/>
        <w:jc w:val="start"/>
        <w:rPr/>
      </w:pPr>
      <w:r>
        <w:rPr/>
        <w:t xml:space="preserve">Predicted – EPISuite </w:t>
      </w:r>
    </w:p>
    <w:p>
      <w:pPr>
        <w:pStyle w:val="TextBody"/>
        <w:numPr>
          <w:ilvl w:val="0"/>
          <w:numId w:val="4"/>
        </w:numPr>
        <w:tabs>
          <w:tab w:val="clear" w:pos="1134"/>
          <w:tab w:val="left" w:pos="709" w:leader="none"/>
        </w:tabs>
        <w:bidi w:val="0"/>
        <w:ind w:start="709" w:hanging="283"/>
        <w:jc w:val="start"/>
        <w:rPr/>
      </w:pPr>
      <w:r>
        <w:rPr/>
        <w:t xml:space="preserve">Predicted – ChemAxon </w:t>
      </w:r>
    </w:p>
    <w:p>
      <w:pPr>
        <w:pStyle w:val="TextBody"/>
        <w:numPr>
          <w:ilvl w:val="0"/>
          <w:numId w:val="5"/>
        </w:numPr>
        <w:tabs>
          <w:tab w:val="clear" w:pos="1134"/>
          <w:tab w:val="left" w:pos="709" w:leader="none"/>
        </w:tabs>
        <w:bidi w:val="0"/>
        <w:spacing w:before="0" w:after="0"/>
        <w:ind w:start="709" w:hanging="283"/>
        <w:jc w:val="start"/>
        <w:rPr/>
      </w:pPr>
      <w:r>
        <w:rPr/>
        <w:t xml:space="preserve">Experimental Physico-chemical Properties </w:t>
      </w:r>
    </w:p>
    <w:p>
      <w:pPr>
        <w:pStyle w:val="Heading2"/>
        <w:numPr>
          <w:ilvl w:val="1"/>
          <w:numId w:val="5"/>
        </w:numPr>
        <w:tabs>
          <w:tab w:val="clear" w:pos="1134"/>
          <w:tab w:val="left" w:pos="1418" w:leader="none"/>
        </w:tabs>
        <w:bidi w:val="0"/>
        <w:ind w:start="1418" w:hanging="283"/>
        <w:jc w:val="start"/>
        <w:rPr/>
      </w:pPr>
      <w:bookmarkStart w:id="1" w:name="experimental-melting-point"/>
      <w:bookmarkEnd w:id="1"/>
      <w:r>
        <w:rPr/>
        <w:t xml:space="preserve">Experimental Melting Point: </w:t>
      </w:r>
    </w:p>
    <w:tbl>
      <w:tblPr>
        <w:tblW w:w="2701" w:type="dxa"/>
        <w:jc w:val="start"/>
        <w:tblInd w:w="1418" w:type="dxa"/>
        <w:tblLayout w:type="fixed"/>
        <w:tblCellMar>
          <w:top w:w="28" w:type="dxa"/>
          <w:start w:w="28" w:type="dxa"/>
          <w:bottom w:w="28" w:type="dxa"/>
          <w:end w:w="28" w:type="dxa"/>
        </w:tblCellMar>
      </w:tblPr>
      <w:tblGrid>
        <w:gridCol w:w="2701"/>
      </w:tblGrid>
      <w:tr>
        <w:trPr/>
        <w:tc>
          <w:tcPr>
            <w:tcW w:w="2701" w:type="dxa"/>
            <w:tcBorders/>
            <w:vAlign w:val="center"/>
          </w:tcPr>
          <w:p>
            <w:pPr>
              <w:pStyle w:val="TableContents"/>
              <w:bidi w:val="0"/>
              <w:spacing w:before="0" w:after="283"/>
              <w:jc w:val="start"/>
              <w:rPr/>
            </w:pPr>
            <w:r>
              <w:rPr/>
              <w:t xml:space="preserve">-78 °CJean-Claude Bradley Open Melting Point Dataset13607 </w:t>
            </w:r>
          </w:p>
        </w:tc>
      </w:tr>
      <w:tr>
        <w:trPr/>
        <w:tc>
          <w:tcPr>
            <w:tcW w:w="2701" w:type="dxa"/>
            <w:tcBorders/>
            <w:vAlign w:val="center"/>
          </w:tcPr>
          <w:p>
            <w:pPr>
              <w:pStyle w:val="TableContents"/>
              <w:bidi w:val="0"/>
              <w:spacing w:before="0" w:after="283"/>
              <w:jc w:val="start"/>
              <w:rPr/>
            </w:pPr>
            <w:r>
              <w:rPr/>
              <w:t xml:space="preserve">-77. 8 °CJean-Claude Bradley Open Melting Point Dataset24040 </w:t>
            </w:r>
          </w:p>
        </w:tc>
      </w:tr>
    </w:tbl>
    <w:p>
      <w:pPr>
        <w:pStyle w:val="Heading2"/>
        <w:numPr>
          <w:ilvl w:val="1"/>
          <w:numId w:val="5"/>
        </w:numPr>
        <w:tabs>
          <w:tab w:val="clear" w:pos="1134"/>
          <w:tab w:val="left" w:pos="1418" w:leader="none"/>
        </w:tabs>
        <w:bidi w:val="0"/>
        <w:ind w:start="1418" w:hanging="283"/>
        <w:jc w:val="start"/>
        <w:rPr/>
      </w:pPr>
      <w:bookmarkStart w:id="2" w:name="experimental-boiling-point"/>
      <w:bookmarkEnd w:id="2"/>
      <w:r>
        <w:rPr/>
        <w:t xml:space="preserve">Experimental Boiling Point: </w:t>
      </w:r>
    </w:p>
    <w:tbl>
      <w:tblPr>
        <w:tblW w:w="2701" w:type="dxa"/>
        <w:jc w:val="start"/>
        <w:tblInd w:w="1418" w:type="dxa"/>
        <w:tblLayout w:type="fixed"/>
        <w:tblCellMar>
          <w:top w:w="28" w:type="dxa"/>
          <w:start w:w="28" w:type="dxa"/>
          <w:bottom w:w="28" w:type="dxa"/>
          <w:end w:w="28" w:type="dxa"/>
        </w:tblCellMar>
      </w:tblPr>
      <w:tblGrid>
        <w:gridCol w:w="2701"/>
      </w:tblGrid>
      <w:tr>
        <w:trPr/>
        <w:tc>
          <w:tcPr>
            <w:tcW w:w="2701" w:type="dxa"/>
            <w:tcBorders/>
            <w:vAlign w:val="center"/>
          </w:tcPr>
          <w:p>
            <w:pPr>
              <w:pStyle w:val="TableContents"/>
              <w:bidi w:val="0"/>
              <w:spacing w:before="0" w:after="283"/>
              <w:jc w:val="start"/>
              <w:rPr/>
            </w:pPr>
            <w:r>
              <w:rPr/>
              <w:t xml:space="preserve">141-143 °CSynQuest78519, 1300-1-30 </w:t>
            </w:r>
          </w:p>
        </w:tc>
      </w:tr>
    </w:tbl>
    <w:p>
      <w:pPr>
        <w:pStyle w:val="Heading2"/>
        <w:numPr>
          <w:ilvl w:val="1"/>
          <w:numId w:val="5"/>
        </w:numPr>
        <w:tabs>
          <w:tab w:val="clear" w:pos="1134"/>
          <w:tab w:val="left" w:pos="1418" w:leader="none"/>
        </w:tabs>
        <w:bidi w:val="0"/>
        <w:ind w:start="1418" w:hanging="283"/>
        <w:jc w:val="start"/>
        <w:rPr/>
      </w:pPr>
      <w:bookmarkStart w:id="3" w:name="experimental-flash-point"/>
      <w:bookmarkEnd w:id="3"/>
      <w:r>
        <w:rPr/>
        <w:t xml:space="preserve">Experimental Flash Point: </w:t>
      </w:r>
    </w:p>
    <w:tbl>
      <w:tblPr>
        <w:tblW w:w="2701" w:type="dxa"/>
        <w:jc w:val="start"/>
        <w:tblInd w:w="1418" w:type="dxa"/>
        <w:tblLayout w:type="fixed"/>
        <w:tblCellMar>
          <w:top w:w="28" w:type="dxa"/>
          <w:start w:w="28" w:type="dxa"/>
          <w:bottom w:w="28" w:type="dxa"/>
          <w:end w:w="28" w:type="dxa"/>
        </w:tblCellMar>
      </w:tblPr>
      <w:tblGrid>
        <w:gridCol w:w="2701"/>
      </w:tblGrid>
      <w:tr>
        <w:trPr/>
        <w:tc>
          <w:tcPr>
            <w:tcW w:w="2701" w:type="dxa"/>
            <w:tcBorders/>
            <w:vAlign w:val="center"/>
          </w:tcPr>
          <w:p>
            <w:pPr>
              <w:pStyle w:val="TableContents"/>
              <w:bidi w:val="0"/>
              <w:spacing w:before="0" w:after="283"/>
              <w:jc w:val="start"/>
              <w:rPr/>
            </w:pPr>
            <w:r>
              <w:rPr/>
              <w:t xml:space="preserve">32 °CSynQuest78519, 1300-1-30 </w:t>
            </w:r>
          </w:p>
        </w:tc>
      </w:tr>
    </w:tbl>
    <w:p>
      <w:pPr>
        <w:pStyle w:val="Heading2"/>
        <w:numPr>
          <w:ilvl w:val="1"/>
          <w:numId w:val="5"/>
        </w:numPr>
        <w:tabs>
          <w:tab w:val="clear" w:pos="1134"/>
          <w:tab w:val="left" w:pos="1418" w:leader="none"/>
        </w:tabs>
        <w:bidi w:val="0"/>
        <w:ind w:start="1418" w:hanging="283"/>
        <w:jc w:val="start"/>
        <w:rPr/>
      </w:pPr>
      <w:bookmarkStart w:id="4" w:name="experimental-gravity"/>
      <w:bookmarkEnd w:id="4"/>
      <w:r>
        <w:rPr/>
        <w:t xml:space="preserve">Experimental Gravity: </w:t>
      </w:r>
    </w:p>
    <w:tbl>
      <w:tblPr>
        <w:tblW w:w="2701" w:type="dxa"/>
        <w:jc w:val="start"/>
        <w:tblInd w:w="1418" w:type="dxa"/>
        <w:tblLayout w:type="fixed"/>
        <w:tblCellMar>
          <w:top w:w="28" w:type="dxa"/>
          <w:start w:w="28" w:type="dxa"/>
          <w:bottom w:w="28" w:type="dxa"/>
          <w:end w:w="28" w:type="dxa"/>
        </w:tblCellMar>
      </w:tblPr>
      <w:tblGrid>
        <w:gridCol w:w="2701"/>
      </w:tblGrid>
      <w:tr>
        <w:trPr/>
        <w:tc>
          <w:tcPr>
            <w:tcW w:w="2701" w:type="dxa"/>
            <w:tcBorders/>
            <w:vAlign w:val="center"/>
          </w:tcPr>
          <w:p>
            <w:pPr>
              <w:pStyle w:val="TableContents"/>
              <w:bidi w:val="0"/>
              <w:spacing w:before="0" w:after="283"/>
              <w:jc w:val="start"/>
              <w:rPr/>
            </w:pPr>
            <w:r>
              <w:rPr/>
              <w:t xml:space="preserve">0. 74 g/mLSynQuest1300-1-30 </w:t>
            </w:r>
          </w:p>
        </w:tc>
      </w:tr>
    </w:tbl>
    <w:p>
      <w:pPr>
        <w:pStyle w:val="TextBody"/>
        <w:numPr>
          <w:ilvl w:val="0"/>
          <w:numId w:val="5"/>
        </w:numPr>
        <w:tabs>
          <w:tab w:val="clear" w:pos="1134"/>
          <w:tab w:val="left" w:pos="709" w:leader="none"/>
        </w:tabs>
        <w:bidi w:val="0"/>
        <w:spacing w:before="0" w:after="0"/>
        <w:ind w:start="709" w:hanging="283"/>
        <w:jc w:val="start"/>
        <w:rPr/>
      </w:pPr>
      <w:r>
        <w:rPr/>
        <w:t xml:space="preserve">Miscellaneous </w:t>
      </w:r>
    </w:p>
    <w:p>
      <w:pPr>
        <w:pStyle w:val="Heading2"/>
        <w:numPr>
          <w:ilvl w:val="1"/>
          <w:numId w:val="5"/>
        </w:numPr>
        <w:tabs>
          <w:tab w:val="clear" w:pos="1134"/>
          <w:tab w:val="left" w:pos="1418" w:leader="none"/>
        </w:tabs>
        <w:bidi w:val="0"/>
        <w:ind w:start="1418" w:hanging="283"/>
        <w:jc w:val="start"/>
        <w:rPr/>
      </w:pPr>
      <w:bookmarkStart w:id="5" w:name="safety"/>
      <w:bookmarkEnd w:id="5"/>
      <w:r>
        <w:rPr/>
        <w:t xml:space="preserve">Safety: </w:t>
      </w:r>
    </w:p>
    <w:tbl>
      <w:tblPr>
        <w:tblW w:w="2701" w:type="dxa"/>
        <w:jc w:val="start"/>
        <w:tblInd w:w="1418" w:type="dxa"/>
        <w:tblLayout w:type="fixed"/>
        <w:tblCellMar>
          <w:top w:w="28" w:type="dxa"/>
          <w:start w:w="28" w:type="dxa"/>
          <w:bottom w:w="28" w:type="dxa"/>
          <w:end w:w="28" w:type="dxa"/>
        </w:tblCellMar>
      </w:tblPr>
      <w:tblGrid>
        <w:gridCol w:w="2701"/>
      </w:tblGrid>
      <w:tr>
        <w:trPr/>
        <w:tc>
          <w:tcPr>
            <w:tcW w:w="2701" w:type="dxa"/>
            <w:tcBorders/>
            <w:vAlign w:val="center"/>
          </w:tcPr>
          <w:p>
            <w:pPr>
              <w:pStyle w:val="TableContents"/>
              <w:bidi w:val="0"/>
              <w:spacing w:before="0" w:after="283"/>
              <w:jc w:val="start"/>
              <w:rPr/>
            </w:pPr>
            <w:r>
              <w:rPr/>
              <w:t xml:space="preserve">FlammableSynQuest1300-1-30, 78519 </w:t>
            </w:r>
          </w:p>
        </w:tc>
      </w:tr>
    </w:tbl>
    <w:p>
      <w:pPr>
        <w:pStyle w:val="TextBody"/>
        <w:numPr>
          <w:ilvl w:val="0"/>
          <w:numId w:val="5"/>
        </w:numPr>
        <w:tabs>
          <w:tab w:val="clear" w:pos="1134"/>
          <w:tab w:val="left" w:pos="709" w:leader="none"/>
        </w:tabs>
        <w:bidi w:val="0"/>
        <w:spacing w:before="0" w:after="0"/>
        <w:ind w:start="709" w:hanging="283"/>
        <w:jc w:val="start"/>
        <w:rPr/>
      </w:pPr>
      <w:r>
        <w:rPr/>
        <w:t xml:space="preserve">Gas Chromatography </w:t>
      </w:r>
    </w:p>
    <w:p>
      <w:pPr>
        <w:pStyle w:val="Heading2"/>
        <w:numPr>
          <w:ilvl w:val="1"/>
          <w:numId w:val="5"/>
        </w:numPr>
        <w:tabs>
          <w:tab w:val="clear" w:pos="1134"/>
          <w:tab w:val="left" w:pos="1418" w:leader="none"/>
        </w:tabs>
        <w:bidi w:val="0"/>
        <w:ind w:start="1418" w:hanging="283"/>
        <w:jc w:val="start"/>
        <w:rPr/>
      </w:pPr>
      <w:bookmarkStart w:id="6" w:name="retention-index-kovats"/>
      <w:bookmarkEnd w:id="6"/>
      <w:r>
        <w:rPr/>
        <w:t xml:space="preserve">Retention Index (Kovats): </w:t>
      </w:r>
    </w:p>
    <w:tbl>
      <w:tblPr>
        <w:tblW w:w="2701" w:type="dxa"/>
        <w:jc w:val="start"/>
        <w:tblInd w:w="1418" w:type="dxa"/>
        <w:tblLayout w:type="fixed"/>
        <w:tblCellMar>
          <w:top w:w="28" w:type="dxa"/>
          <w:start w:w="28" w:type="dxa"/>
          <w:bottom w:w="28" w:type="dxa"/>
          <w:end w:w="28" w:type="dxa"/>
        </w:tblCellMar>
      </w:tblPr>
      <w:tblGrid>
        <w:gridCol w:w="2701"/>
      </w:tblGrid>
      <w:tr>
        <w:trPr/>
        <w:tc>
          <w:tcPr>
            <w:tcW w:w="2701" w:type="dxa"/>
            <w:tcBorders/>
            <w:vAlign w:val="center"/>
          </w:tcPr>
          <w:p>
            <w:pPr>
              <w:pStyle w:val="TableContents"/>
              <w:bidi w:val="0"/>
              <w:spacing w:before="0" w:after="283"/>
              <w:jc w:val="start"/>
              <w:rPr/>
            </w:pPr>
            <w:r>
              <w:rPr/>
              <w:t xml:space="preserve">883 (estimated with error: 39)NIST Spectramainlib_227609, replib_2463, replib_155943 </w:t>
            </w:r>
          </w:p>
        </w:tc>
      </w:tr>
      <w:tr>
        <w:trPr/>
        <w:tc>
          <w:tcPr>
            <w:tcW w:w="2701" w:type="dxa"/>
            <w:tcBorders/>
            <w:vAlign w:val="center"/>
          </w:tcPr>
          <w:p>
            <w:pPr>
              <w:pStyle w:val="TableContents"/>
              <w:bidi w:val="0"/>
              <w:spacing w:before="0" w:after="283"/>
              <w:jc w:val="start"/>
              <w:rPr/>
            </w:pPr>
            <w:r>
              <w:rPr/>
              <w:t xml:space="preserve">860 (Program type: Complex; Column… (show more)class: Standard non-polar; Column diameter: 0. 2 mm; Column length: 100 m; Column type: Capillary; Description: 5C(10min)=&gt; 5C/min=&gt; 50C(48min)=&gt; 1. 5C/min=&gt; 195C(91min); CAS no: 4588185; Active phase: Petrocol DH-100; Carrier gas: He; Data type: Kovats RI; Authors: Haagen-Smit Laboratory, Procedure for the detailed hydrocarbon analysis of gasolines by single column high efficiency (capillary) column gas chromatography, SOP NO. MLD 118, Revision No. 1. 1, California Environmental Protection Agency, Air Resources Board, El Monte, California, 1997, 22.)NIST Spectranist ri </w:t>
            </w:r>
          </w:p>
        </w:tc>
      </w:tr>
      <w:tr>
        <w:trPr/>
        <w:tc>
          <w:tcPr>
            <w:tcW w:w="2701" w:type="dxa"/>
            <w:tcBorders/>
            <w:vAlign w:val="center"/>
          </w:tcPr>
          <w:p>
            <w:pPr>
              <w:pStyle w:val="TableContents"/>
              <w:bidi w:val="0"/>
              <w:spacing w:before="0" w:after="283"/>
              <w:jc w:val="start"/>
              <w:rPr/>
            </w:pPr>
            <w:r>
              <w:rPr/>
              <w:t xml:space="preserve">880 (Program type: Isothermal; Col… (show more)umn class: Standard non-polar; Column type: Capillary; Start T: 40 C; CAS no: 4588185; Active phase: OV-101; Data type: Kovats RI; Authors: Laub, R. J.; Purnell, J. H., Specific retention volumes, retention indices, and family-plot regressions of aliphatic, alicyclic, and aromatic hydrocarbon solutes with OV-101 poly (dimethylsiloxane) stationary phase, J. Hi. Res. Chromatogr. &amp; Chromatogr. Comm., 11, 1988, 649-660.)NIST Spectranist ri </w:t>
            </w:r>
          </w:p>
        </w:tc>
      </w:tr>
      <w:tr>
        <w:trPr/>
        <w:tc>
          <w:tcPr>
            <w:tcW w:w="2701" w:type="dxa"/>
            <w:tcBorders/>
            <w:vAlign w:val="center"/>
          </w:tcPr>
          <w:p>
            <w:pPr>
              <w:pStyle w:val="TableContents"/>
              <w:bidi w:val="0"/>
              <w:spacing w:before="0" w:after="283"/>
              <w:jc w:val="start"/>
              <w:rPr/>
            </w:pPr>
            <w:r>
              <w:rPr/>
              <w:t xml:space="preserve">881 (Program type: Isothermal; Col… (show more)umn class: Standard non-polar; Column type: Capillary; Start T: 60 C; CAS no: 4588185; Active phase: OV-101; Data type: Kovats RI; Authors: Laub, R. J.; Purnell, J. H., Specific retention volumes, retention indices, and family-plot regressions of aliphatic, alicyclic, and aromatic hydrocarbon solutes with OV-101 poly (dimethylsiloxane) stationary phase, J. Hi. Res. Chromatogr. &amp; Chromatogr. Comm., 11, 1988, 649-660.)NIST Spectranist ri </w:t>
            </w:r>
          </w:p>
        </w:tc>
      </w:tr>
      <w:tr>
        <w:trPr/>
        <w:tc>
          <w:tcPr>
            <w:tcW w:w="2701" w:type="dxa"/>
            <w:tcBorders/>
            <w:vAlign w:val="center"/>
          </w:tcPr>
          <w:p>
            <w:pPr>
              <w:pStyle w:val="TableContents"/>
              <w:bidi w:val="0"/>
              <w:spacing w:before="0" w:after="283"/>
              <w:jc w:val="start"/>
              <w:rPr/>
            </w:pPr>
            <w:r>
              <w:rPr/>
              <w:t xml:space="preserve">882 (Program type: Isothermal; Col… (show more)umn class: Standard non-polar; Column type: Capillary; Start T: 80 C; CAS no: 4588185; Active phase: OV-101; Data type: Kovats RI; Authors: Laub, R. J.; Purnell, J. H., Specific retention volumes, retention indices, and family-plot regressions of aliphatic, alicyclic, and aromatic hydrocarbon solutes with OV-101 poly (dimethylsiloxane) stationary phase, J. Hi. Res. Chromatogr. &amp; Chromatogr. Comm., 11, 1988, 649-660.)NIST Spectranist ri </w:t>
            </w:r>
          </w:p>
        </w:tc>
      </w:tr>
      <w:tr>
        <w:trPr/>
        <w:tc>
          <w:tcPr>
            <w:tcW w:w="2701" w:type="dxa"/>
            <w:tcBorders/>
            <w:vAlign w:val="center"/>
          </w:tcPr>
          <w:p>
            <w:pPr>
              <w:pStyle w:val="TableContents"/>
              <w:bidi w:val="0"/>
              <w:spacing w:before="0" w:after="283"/>
              <w:jc w:val="start"/>
              <w:rPr/>
            </w:pPr>
            <w:r>
              <w:rPr/>
              <w:t xml:space="preserve">874 (Program type: Isothermal; Col… (show more)umn class: Semi-standard non-polar; Column diameter: 0. 25 mm; Column length: 120 m; Column type: Capillary; Start T: 100 C; CAS no: 4588185; Active phase: Squalane; Carrier gas: He; Data type: Kovats RI; Authors: Lulova, N. I.; Leont’eva, S. A.; Timofeeva, A. N., Gas-chromatographic method of determination of individual hydrocarbons in catalytic cracking gasolines, in Proceedings of All-Union Research Institute on Oil Processes. Vol. 18, All-Union Research Institute on Oil Processes, Moscow, 1976, 30-53., Program type: Isothermal; Col… (show more)umn class: Semi-standard non-polar; Column diameter: 0. 25 mm; Column length: 120 m; Column type: Capillary; Start T: 55 C; CAS no: 4588185; Active phase: Squalane; Carrier gas: He; Data type: Kovats RI; Authors: Lulova, N. I.; Leont’eva, S. A.; Fedosova, A. K.; Kvasova, V. A., Individual composition of hydrocarbons in naphthas from secondary processes, Chem. Technol. Fuels Oils (Engl. Transl.), 11(1/2), 1975, 59-64., Program type: Isothermal; Col… (show more)umn class: Semi-standard non-polar; Column length: 100 m; Column type: Capillary; Start T: 80 C; CAS no: 4588185; Active phase: Squalane; Carrier gas: Ar; Data type: Kovats RI; Authors: Schomburg, G., Struktur und Retentionsverhalten von Offenkettigen und Cyclischen Kohlenwasserstoffen und Deren Einfacher Substitutionsprodukte, Anal. Chim. Acta., 38, 1967, 45-64.)NIST Spectranist ri </w:t>
            </w:r>
          </w:p>
        </w:tc>
      </w:tr>
      <w:tr>
        <w:trPr/>
        <w:tc>
          <w:tcPr>
            <w:tcW w:w="2701" w:type="dxa"/>
            <w:tcBorders/>
            <w:vAlign w:val="center"/>
          </w:tcPr>
          <w:p>
            <w:pPr>
              <w:pStyle w:val="TableContents"/>
              <w:bidi w:val="0"/>
              <w:spacing w:before="0" w:after="283"/>
              <w:jc w:val="start"/>
              <w:rPr/>
            </w:pPr>
            <w:r>
              <w:rPr/>
              <w:t xml:space="preserve">868 (Program type: Isothermal; Col… (show more)umn class: Semi-standard non-polar; Column diameter: 0. 2 mm; Column length: 50 m; Column type: Capillary; Start T: 100 C; CAS no: 4588185; Active phase: Squalane; Carrier gas: H2; Data type: Kovats RI; Authors: Mitra, G. D.; Mohan, G.; Sinha, A., Gas chromatographic analysis of complex hydrocarbon mixtures, J. Chromatogr. A, 91, 1974, 633-648.)NIST Spectranist ri </w:t>
            </w:r>
          </w:p>
        </w:tc>
      </w:tr>
    </w:tbl>
    <w:p>
      <w:pPr>
        <w:pStyle w:val="Heading2"/>
        <w:numPr>
          <w:ilvl w:val="1"/>
          <w:numId w:val="5"/>
        </w:numPr>
        <w:tabs>
          <w:tab w:val="clear" w:pos="1134"/>
          <w:tab w:val="left" w:pos="1418" w:leader="none"/>
        </w:tabs>
        <w:bidi w:val="0"/>
        <w:ind w:start="1418" w:hanging="283"/>
        <w:jc w:val="start"/>
        <w:rPr/>
      </w:pPr>
      <w:bookmarkStart w:id="7" w:name="retention-index-normal-alkane"/>
      <w:bookmarkEnd w:id="7"/>
      <w:r>
        <w:rPr/>
        <w:t xml:space="preserve">Retention Index (Normal Alkane): </w:t>
      </w:r>
    </w:p>
    <w:tbl>
      <w:tblPr>
        <w:tblW w:w="2701" w:type="dxa"/>
        <w:jc w:val="start"/>
        <w:tblInd w:w="1418" w:type="dxa"/>
        <w:tblLayout w:type="fixed"/>
        <w:tblCellMar>
          <w:top w:w="28" w:type="dxa"/>
          <w:start w:w="28" w:type="dxa"/>
          <w:bottom w:w="28" w:type="dxa"/>
          <w:end w:w="28" w:type="dxa"/>
        </w:tblCellMar>
      </w:tblPr>
      <w:tblGrid>
        <w:gridCol w:w="2701"/>
      </w:tblGrid>
      <w:tr>
        <w:trPr/>
        <w:tc>
          <w:tcPr>
            <w:tcW w:w="2701" w:type="dxa"/>
            <w:tcBorders/>
            <w:vAlign w:val="center"/>
          </w:tcPr>
          <w:p>
            <w:pPr>
              <w:pStyle w:val="TableContents"/>
              <w:bidi w:val="0"/>
              <w:spacing w:before="0" w:after="283"/>
              <w:jc w:val="start"/>
              <w:rPr/>
            </w:pPr>
            <w:r>
              <w:rPr/>
              <w:t xml:space="preserve">876 (Program type: Ramp; Column cl… (show more)ass: Standard non-polar; Column diameter: 0. 20 mm; Column length: 50 m; Column type: Capillary; Heat rate: 2 K/min; Start T: 35 C; End T: 200 C; End time: 10 min; Start time: 15 min; CAS no: 4588185; Active phase: PONA; Carrier gas: Nitrogen; Phase thickness: 0. 50 um; Data type: Normal alkane RI; Authors: Zhang, X.; Ding, L.; Sun, Z.; Song, L.; Sun, T., Study on quantitative structure-retention relationships for hydrocarbons in FCC gasoline, Chromatographia, 70(3/4), 2009, 511-518.)NIST Spectranist ri </w:t>
            </w:r>
          </w:p>
        </w:tc>
      </w:tr>
      <w:tr>
        <w:trPr/>
        <w:tc>
          <w:tcPr>
            <w:tcW w:w="2701" w:type="dxa"/>
            <w:tcBorders/>
            <w:vAlign w:val="center"/>
          </w:tcPr>
          <w:p>
            <w:pPr>
              <w:pStyle w:val="TableContents"/>
              <w:bidi w:val="0"/>
              <w:spacing w:before="0" w:after="283"/>
              <w:jc w:val="start"/>
              <w:rPr/>
            </w:pPr>
            <w:r>
              <w:rPr/>
              <w:t xml:space="preserve">880 (Program type: Ramp; Column cl… (show more)ass: Standard non-polar; Column diameter: 0. 20 mm; Column length: 50 m; Column type: Capillary; Heat rate: 1 K/min; Start T: 30 C; End T: 100 C; Start time: 6 min; CAS no: 4588185; Active phase: OV-101; Carrier gas: Helium; Phase thickness: 0. 50 um; Data type: Normal alkane RI; Authors: Orav, A.; Kailas, T.; Muurisepp, M.; Kann, J., Composition of the oil from waste tires. 1. Fraction boiling at yp to 160 0C, Proc. Estonian Acad. Sci. Chem., 48(1), 1999, 30-39.)NIST Spectranist ri </w:t>
            </w:r>
          </w:p>
        </w:tc>
      </w:tr>
      <w:tr>
        <w:trPr/>
        <w:tc>
          <w:tcPr>
            <w:tcW w:w="2701" w:type="dxa"/>
            <w:tcBorders/>
            <w:vAlign w:val="center"/>
          </w:tcPr>
          <w:p>
            <w:pPr>
              <w:pStyle w:val="TableContents"/>
              <w:bidi w:val="0"/>
              <w:spacing w:before="0" w:after="283"/>
              <w:jc w:val="start"/>
              <w:rPr/>
            </w:pPr>
            <w:r>
              <w:rPr/>
              <w:t xml:space="preserve">898 (Program type: Ramp; Column cl… (show more)ass: Standard non-polar; Column diameter: 0. 32 mm; Column length: 60 m; Column type: Capillary; CAS no: 4588185; Active phase: DB-1; Phase thickness: 0. 25 um; Data type: Normal alkane RI; Authors: Ciccioli, P.; Cecinato, A.; Brancaleoni, E.; Brachetti, A.; Frattoni, M.; Sparapani, R., Composition and Distribution of Polar and Non-Polar VOCs in Urban, Rural, Forest and Remote Areas, Eur Commission EUR, , 1994, 549-568.)NIST Spectranist ri </w:t>
            </w:r>
          </w:p>
        </w:tc>
      </w:tr>
      <w:tr>
        <w:trPr/>
        <w:tc>
          <w:tcPr>
            <w:tcW w:w="2701" w:type="dxa"/>
            <w:tcBorders/>
            <w:vAlign w:val="center"/>
          </w:tcPr>
          <w:p>
            <w:pPr>
              <w:pStyle w:val="TableContents"/>
              <w:bidi w:val="0"/>
              <w:spacing w:before="0" w:after="283"/>
              <w:jc w:val="start"/>
              <w:rPr/>
            </w:pPr>
            <w:r>
              <w:rPr/>
              <w:t xml:space="preserve">874 (Program type: Isothermal; Col… (show more)umn class: Semi-standard non-polar; Column type: Capillary; Start T: 70 C; CAS no: 4588185; Active phase: Squalane; Data type: Normal alkane RI; Authors: Schomburg, G., Gaschromatographische Retentionsdaten und Struktur Chemischer Verbindungen. II. Methylverzweigungen und Doppelbindungen in Offenkettigen Kohlenwasserstoffen, J. Chromatogr., 23, 1966, 1-17.)NIST Spectranist ri </w:t>
            </w:r>
          </w:p>
        </w:tc>
      </w:tr>
    </w:tbl>
    <w:p>
      <w:pPr>
        <w:pStyle w:val="Heading2"/>
        <w:numPr>
          <w:ilvl w:val="1"/>
          <w:numId w:val="5"/>
        </w:numPr>
        <w:tabs>
          <w:tab w:val="clear" w:pos="1134"/>
          <w:tab w:val="left" w:pos="1418" w:leader="none"/>
        </w:tabs>
        <w:bidi w:val="0"/>
        <w:ind w:start="1418" w:hanging="283"/>
        <w:jc w:val="start"/>
        <w:rPr/>
      </w:pPr>
      <w:bookmarkStart w:id="8" w:name="retention-index-linear"/>
      <w:bookmarkEnd w:id="8"/>
      <w:r>
        <w:rPr/>
        <w:t xml:space="preserve">Retention Index (Linear): </w:t>
      </w:r>
    </w:p>
    <w:tbl>
      <w:tblPr>
        <w:tblW w:w="2701" w:type="dxa"/>
        <w:jc w:val="start"/>
        <w:tblInd w:w="1418" w:type="dxa"/>
        <w:tblLayout w:type="fixed"/>
        <w:tblCellMar>
          <w:top w:w="28" w:type="dxa"/>
          <w:start w:w="28" w:type="dxa"/>
          <w:bottom w:w="28" w:type="dxa"/>
          <w:end w:w="28" w:type="dxa"/>
        </w:tblCellMar>
      </w:tblPr>
      <w:tblGrid>
        <w:gridCol w:w="2701"/>
      </w:tblGrid>
      <w:tr>
        <w:trPr/>
        <w:tc>
          <w:tcPr>
            <w:tcW w:w="2701" w:type="dxa"/>
            <w:tcBorders/>
            <w:vAlign w:val="center"/>
          </w:tcPr>
          <w:p>
            <w:pPr>
              <w:pStyle w:val="TableContents"/>
              <w:bidi w:val="0"/>
              <w:spacing w:before="0" w:after="283"/>
              <w:jc w:val="start"/>
              <w:rPr/>
            </w:pPr>
            <w:r>
              <w:rPr/>
              <w:t xml:space="preserve">881 (Program type: Ramp; Column cl… (show more)ass: Standard non-polar; Column diameter: 0. 25 mm; Column length: 100 m; Column type: Capillary; Heat rate: 1 K/min; Start T: 30 C; End T: 220 C; CAS no: 4588185; Active phase: Petrocol DH; Carrier gas: He; Phase thickness: 0. 5 um; Data type: Linear RI; Authors: White, C. M.; Hackett, J.; Anderson, R. R.; Kail, S.; Spock, P. S., Linear temperature programmed retention indices of gasoline range hydrocarbons and chlorinated hydrocarbons on cross-linked polydimethylsiloxane, J. Hi. Res. Chromatogr., 15, 1992, 105-120.)NIST Spectranist ri </w:t>
            </w:r>
          </w:p>
        </w:tc>
      </w:tr>
      <w:tr>
        <w:trPr/>
        <w:tc>
          <w:tcPr>
            <w:tcW w:w="2701" w:type="dxa"/>
            <w:tcBorders/>
            <w:vAlign w:val="center"/>
          </w:tcPr>
          <w:p>
            <w:pPr>
              <w:pStyle w:val="TableContents"/>
              <w:bidi w:val="0"/>
              <w:spacing w:before="0" w:after="283"/>
              <w:jc w:val="start"/>
              <w:rPr/>
            </w:pPr>
            <w:r>
              <w:rPr/>
              <w:t xml:space="preserve">883 (Program type: Complex; Column… (show more)class: Semi-standard non-polar; Column diameter: 0. 25 mm; Column length: 30 m; Column type: Capillary; Description: 30C=&gt; 5K/min= 120C=&gt; 10C/min=&gt; 270C; CAS no: 4588185; Active phase: DB-5; Carrier gas: He; Data type: Linear RI; Authors: Zaikin, V. G.; Borisov, R. S., Chromatographic-mass spectrometric analysis of Fishcer-Tropsch synthesis products, J. Anal. Chem. USSR (Engl. Transl.), 57(6), 2002, 544-551, In original 653-660.)NIST Spectranist ri </w:t>
            </w:r>
          </w:p>
        </w:tc>
      </w:tr>
    </w:tbl>
    <w:p>
      <w:pPr>
        <w:pStyle w:val="TextBody"/>
        <w:bidi w:val="0"/>
        <w:jc w:val="start"/>
        <w:rPr/>
      </w:pPr>
      <w:r>
        <w:rPr/>
        <w:t xml:space="preserve">Predicted data is generated using the ACD/Labs Percepta Platform – PhysChem Module </w:t>
      </w:r>
    </w:p>
    <w:p>
      <w:pPr>
        <w:pStyle w:val="a"/>
        <w:bidi w:val="0"/>
        <w:spacing w:before="0" w:after="0"/>
        <w:jc w:val="start"/>
        <w:rPr>
          <w:sz w:val="4"/>
          <w:szCs w:val="4"/>
        </w:rPr>
      </w:pPr>
      <w:r>
        <w:rPr>
          <w:sz w:val="4"/>
          <w:szCs w:val="4"/>
        </w:rPr>
      </w:r>
      <w:bookmarkStart w:id="9" w:name="_acdlabs-table"/>
      <w:bookmarkStart w:id="10" w:name="_acdlabs-table"/>
      <w:bookmarkEnd w:id="9"/>
    </w:p>
    <w:tbl>
      <w:tblPr>
        <w:tblW w:w="5000" w:type="pct"/>
        <w:jc w:val="start"/>
        <w:tblInd w:w="0" w:type="dxa"/>
        <w:tblLayout w:type="fixed"/>
        <w:tblCellMar>
          <w:top w:w="28" w:type="dxa"/>
          <w:start w:w="28" w:type="dxa"/>
          <w:bottom w:w="28" w:type="dxa"/>
          <w:end w:w="28" w:type="dxa"/>
        </w:tblCellMar>
      </w:tblPr>
      <w:tblGrid>
        <w:gridCol w:w="2078"/>
        <w:gridCol w:w="2041"/>
      </w:tblGrid>
      <w:tr>
        <w:trPr/>
        <w:tc>
          <w:tcPr>
            <w:tcW w:w="2078" w:type="dxa"/>
            <w:tcBorders/>
            <w:vAlign w:val="center"/>
          </w:tcPr>
          <w:p>
            <w:pPr>
              <w:pStyle w:val="TableContents"/>
              <w:bidi w:val="0"/>
              <w:spacing w:before="0" w:after="283"/>
              <w:jc w:val="start"/>
              <w:rPr/>
            </w:pPr>
            <w:r>
              <w:rPr/>
              <w:t xml:space="preserve">Density: </w:t>
            </w:r>
          </w:p>
        </w:tc>
        <w:tc>
          <w:tcPr>
            <w:tcW w:w="2041" w:type="dxa"/>
            <w:tcBorders/>
            <w:vAlign w:val="center"/>
          </w:tcPr>
          <w:p>
            <w:pPr>
              <w:pStyle w:val="TableContents"/>
              <w:bidi w:val="0"/>
              <w:spacing w:before="0" w:after="283"/>
              <w:jc w:val="start"/>
              <w:rPr/>
            </w:pPr>
            <w:r>
              <w:rPr/>
              <w:t xml:space="preserve">0. 7±0. 1 g/cm </w:t>
            </w:r>
            <w:r>
              <w:rPr>
                <w:position w:val="8"/>
                <w:sz w:val="19"/>
              </w:rPr>
              <w:t xml:space="preserve">3 </w:t>
            </w:r>
          </w:p>
        </w:tc>
      </w:tr>
      <w:tr>
        <w:trPr/>
        <w:tc>
          <w:tcPr>
            <w:tcW w:w="2078" w:type="dxa"/>
            <w:tcBorders/>
            <w:vAlign w:val="center"/>
          </w:tcPr>
          <w:p>
            <w:pPr>
              <w:pStyle w:val="TableContents"/>
              <w:bidi w:val="0"/>
              <w:spacing w:before="0" w:after="283"/>
              <w:jc w:val="start"/>
              <w:rPr/>
            </w:pPr>
            <w:r>
              <w:rPr/>
              <w:t xml:space="preserve">Boiling Point: </w:t>
            </w:r>
          </w:p>
        </w:tc>
        <w:tc>
          <w:tcPr>
            <w:tcW w:w="2041" w:type="dxa"/>
            <w:tcBorders/>
            <w:vAlign w:val="center"/>
          </w:tcPr>
          <w:p>
            <w:pPr>
              <w:pStyle w:val="TableContents"/>
              <w:bidi w:val="0"/>
              <w:spacing w:before="0" w:after="283"/>
              <w:jc w:val="start"/>
              <w:rPr/>
            </w:pPr>
            <w:r>
              <w:rPr/>
              <w:t xml:space="preserve">142. 6±7. 0 °C at 760 mmHg </w:t>
            </w:r>
          </w:p>
        </w:tc>
      </w:tr>
      <w:tr>
        <w:trPr/>
        <w:tc>
          <w:tcPr>
            <w:tcW w:w="2078" w:type="dxa"/>
            <w:tcBorders/>
            <w:vAlign w:val="center"/>
          </w:tcPr>
          <w:p>
            <w:pPr>
              <w:pStyle w:val="TableContents"/>
              <w:bidi w:val="0"/>
              <w:spacing w:before="0" w:after="283"/>
              <w:jc w:val="start"/>
              <w:rPr/>
            </w:pPr>
            <w:r>
              <w:rPr/>
              <w:t xml:space="preserve">Vapour Pressure: </w:t>
            </w:r>
          </w:p>
        </w:tc>
        <w:tc>
          <w:tcPr>
            <w:tcW w:w="2041" w:type="dxa"/>
            <w:tcBorders/>
            <w:vAlign w:val="center"/>
          </w:tcPr>
          <w:p>
            <w:pPr>
              <w:pStyle w:val="TableContents"/>
              <w:bidi w:val="0"/>
              <w:spacing w:before="0" w:after="283"/>
              <w:jc w:val="start"/>
              <w:rPr/>
            </w:pPr>
            <w:r>
              <w:rPr/>
              <w:t xml:space="preserve">6. 9±0. 1 mmHg at 25°C </w:t>
            </w:r>
          </w:p>
        </w:tc>
      </w:tr>
      <w:tr>
        <w:trPr/>
        <w:tc>
          <w:tcPr>
            <w:tcW w:w="2078" w:type="dxa"/>
            <w:tcBorders/>
            <w:vAlign w:val="center"/>
          </w:tcPr>
          <w:p>
            <w:pPr>
              <w:pStyle w:val="TableContents"/>
              <w:bidi w:val="0"/>
              <w:spacing w:before="0" w:after="283"/>
              <w:jc w:val="start"/>
              <w:rPr/>
            </w:pPr>
            <w:r>
              <w:rPr/>
              <w:t xml:space="preserve">Enthalpy of Vaporization: </w:t>
            </w:r>
          </w:p>
        </w:tc>
        <w:tc>
          <w:tcPr>
            <w:tcW w:w="2041" w:type="dxa"/>
            <w:tcBorders/>
            <w:vAlign w:val="center"/>
          </w:tcPr>
          <w:p>
            <w:pPr>
              <w:pStyle w:val="TableContents"/>
              <w:bidi w:val="0"/>
              <w:spacing w:before="0" w:after="283"/>
              <w:jc w:val="start"/>
              <w:rPr/>
            </w:pPr>
            <w:r>
              <w:rPr/>
              <w:t xml:space="preserve">36. 4±0. 8 kJ/mol </w:t>
            </w:r>
          </w:p>
        </w:tc>
      </w:tr>
      <w:tr>
        <w:trPr/>
        <w:tc>
          <w:tcPr>
            <w:tcW w:w="2078" w:type="dxa"/>
            <w:tcBorders/>
            <w:vAlign w:val="center"/>
          </w:tcPr>
          <w:p>
            <w:pPr>
              <w:pStyle w:val="TableContents"/>
              <w:bidi w:val="0"/>
              <w:spacing w:before="0" w:after="283"/>
              <w:jc w:val="start"/>
              <w:rPr/>
            </w:pPr>
            <w:r>
              <w:rPr/>
              <w:t xml:space="preserve">Flash Point: </w:t>
            </w:r>
          </w:p>
        </w:tc>
        <w:tc>
          <w:tcPr>
            <w:tcW w:w="2041" w:type="dxa"/>
            <w:tcBorders/>
            <w:vAlign w:val="center"/>
          </w:tcPr>
          <w:p>
            <w:pPr>
              <w:pStyle w:val="TableContents"/>
              <w:bidi w:val="0"/>
              <w:spacing w:before="0" w:after="283"/>
              <w:jc w:val="start"/>
              <w:rPr/>
            </w:pPr>
            <w:r>
              <w:rPr/>
              <w:t xml:space="preserve">26. 9±2. 4 °C </w:t>
            </w:r>
          </w:p>
        </w:tc>
      </w:tr>
      <w:tr>
        <w:trPr/>
        <w:tc>
          <w:tcPr>
            <w:tcW w:w="2078" w:type="dxa"/>
            <w:tcBorders/>
            <w:vAlign w:val="center"/>
          </w:tcPr>
          <w:p>
            <w:pPr>
              <w:pStyle w:val="TableContents"/>
              <w:bidi w:val="0"/>
              <w:spacing w:before="0" w:after="283"/>
              <w:jc w:val="start"/>
              <w:rPr/>
            </w:pPr>
            <w:r>
              <w:rPr/>
              <w:t xml:space="preserve">Index of Refraction: </w:t>
            </w:r>
          </w:p>
        </w:tc>
        <w:tc>
          <w:tcPr>
            <w:tcW w:w="2041" w:type="dxa"/>
            <w:tcBorders/>
            <w:vAlign w:val="center"/>
          </w:tcPr>
          <w:p>
            <w:pPr>
              <w:pStyle w:val="TableContents"/>
              <w:bidi w:val="0"/>
              <w:spacing w:before="0" w:after="283"/>
              <w:jc w:val="start"/>
              <w:rPr/>
            </w:pPr>
            <w:r>
              <w:rPr/>
              <w:t xml:space="preserve">1. 418 </w:t>
            </w:r>
          </w:p>
        </w:tc>
      </w:tr>
      <w:tr>
        <w:trPr/>
        <w:tc>
          <w:tcPr>
            <w:tcW w:w="2078" w:type="dxa"/>
            <w:tcBorders/>
            <w:vAlign w:val="center"/>
          </w:tcPr>
          <w:p>
            <w:pPr>
              <w:pStyle w:val="TableContents"/>
              <w:bidi w:val="0"/>
              <w:spacing w:before="0" w:after="283"/>
              <w:jc w:val="start"/>
              <w:rPr/>
            </w:pPr>
            <w:r>
              <w:rPr/>
              <w:t xml:space="preserve">Molar Refractivity: </w:t>
            </w:r>
          </w:p>
        </w:tc>
        <w:tc>
          <w:tcPr>
            <w:tcW w:w="2041" w:type="dxa"/>
            <w:tcBorders/>
            <w:vAlign w:val="center"/>
          </w:tcPr>
          <w:p>
            <w:pPr>
              <w:pStyle w:val="TableContents"/>
              <w:bidi w:val="0"/>
              <w:spacing w:before="0" w:after="283"/>
              <w:jc w:val="start"/>
              <w:rPr/>
            </w:pPr>
            <w:r>
              <w:rPr/>
              <w:t xml:space="preserve">43. 3±0. 3 cm </w:t>
            </w:r>
            <w:r>
              <w:rPr>
                <w:position w:val="8"/>
                <w:sz w:val="19"/>
              </w:rPr>
              <w:t xml:space="preserve">3 </w:t>
            </w:r>
          </w:p>
        </w:tc>
      </w:tr>
      <w:tr>
        <w:trPr/>
        <w:tc>
          <w:tcPr>
            <w:tcW w:w="2078" w:type="dxa"/>
            <w:tcBorders/>
            <w:vAlign w:val="center"/>
          </w:tcPr>
          <w:p>
            <w:pPr>
              <w:pStyle w:val="TableContents"/>
              <w:bidi w:val="0"/>
              <w:spacing w:before="0" w:after="283"/>
              <w:jc w:val="start"/>
              <w:rPr/>
            </w:pPr>
            <w:r>
              <w:rPr/>
              <w:t xml:space="preserve">#H bond acceptors: </w:t>
            </w:r>
          </w:p>
        </w:tc>
        <w:tc>
          <w:tcPr>
            <w:tcW w:w="2041" w:type="dxa"/>
            <w:tcBorders/>
            <w:vAlign w:val="center"/>
          </w:tcPr>
          <w:p>
            <w:pPr>
              <w:pStyle w:val="TableContents"/>
              <w:bidi w:val="0"/>
              <w:spacing w:before="0" w:after="283"/>
              <w:jc w:val="start"/>
              <w:rPr/>
            </w:pPr>
            <w:r>
              <w:rPr/>
              <w:t xml:space="preserve">0 </w:t>
            </w:r>
          </w:p>
        </w:tc>
      </w:tr>
      <w:tr>
        <w:trPr/>
        <w:tc>
          <w:tcPr>
            <w:tcW w:w="2078" w:type="dxa"/>
            <w:tcBorders/>
            <w:vAlign w:val="center"/>
          </w:tcPr>
          <w:p>
            <w:pPr>
              <w:pStyle w:val="TableContents"/>
              <w:bidi w:val="0"/>
              <w:spacing w:before="0" w:after="283"/>
              <w:jc w:val="start"/>
              <w:rPr/>
            </w:pPr>
            <w:r>
              <w:rPr/>
              <w:t xml:space="preserve">#H bond donors: </w:t>
            </w:r>
          </w:p>
        </w:tc>
        <w:tc>
          <w:tcPr>
            <w:tcW w:w="2041" w:type="dxa"/>
            <w:tcBorders/>
            <w:vAlign w:val="center"/>
          </w:tcPr>
          <w:p>
            <w:pPr>
              <w:pStyle w:val="TableContents"/>
              <w:bidi w:val="0"/>
              <w:spacing w:before="0" w:after="283"/>
              <w:jc w:val="start"/>
              <w:rPr/>
            </w:pPr>
            <w:r>
              <w:rPr/>
              <w:t xml:space="preserve">0 </w:t>
            </w:r>
          </w:p>
        </w:tc>
      </w:tr>
      <w:tr>
        <w:trPr/>
        <w:tc>
          <w:tcPr>
            <w:tcW w:w="2078" w:type="dxa"/>
            <w:tcBorders/>
            <w:vAlign w:val="center"/>
          </w:tcPr>
          <w:p>
            <w:pPr>
              <w:pStyle w:val="TableContents"/>
              <w:bidi w:val="0"/>
              <w:spacing w:before="0" w:after="283"/>
              <w:jc w:val="start"/>
              <w:rPr/>
            </w:pPr>
            <w:r>
              <w:rPr/>
              <w:t xml:space="preserve">#Freely Rotating Bonds: </w:t>
            </w:r>
          </w:p>
        </w:tc>
        <w:tc>
          <w:tcPr>
            <w:tcW w:w="2041" w:type="dxa"/>
            <w:tcBorders/>
            <w:vAlign w:val="center"/>
          </w:tcPr>
          <w:p>
            <w:pPr>
              <w:pStyle w:val="TableContents"/>
              <w:bidi w:val="0"/>
              <w:spacing w:before="0" w:after="283"/>
              <w:jc w:val="start"/>
              <w:rPr/>
            </w:pPr>
            <w:r>
              <w:rPr/>
              <w:t xml:space="preserve">5 </w:t>
            </w:r>
          </w:p>
        </w:tc>
      </w:tr>
      <w:tr>
        <w:trPr/>
        <w:tc>
          <w:tcPr>
            <w:tcW w:w="2078" w:type="dxa"/>
            <w:tcBorders/>
            <w:vAlign w:val="center"/>
          </w:tcPr>
          <w:p>
            <w:pPr>
              <w:pStyle w:val="TableContents"/>
              <w:bidi w:val="0"/>
              <w:spacing w:before="0" w:after="283"/>
              <w:jc w:val="start"/>
              <w:rPr/>
            </w:pPr>
            <w:r>
              <w:rPr/>
              <w:t xml:space="preserve">#Rule of 5 Violations: </w:t>
            </w:r>
          </w:p>
        </w:tc>
        <w:tc>
          <w:tcPr>
            <w:tcW w:w="2041" w:type="dxa"/>
            <w:tcBorders/>
            <w:vAlign w:val="center"/>
          </w:tcPr>
          <w:p>
            <w:pPr>
              <w:pStyle w:val="TableContents"/>
              <w:bidi w:val="0"/>
              <w:spacing w:before="0" w:after="283"/>
              <w:jc w:val="start"/>
              <w:rPr/>
            </w:pPr>
            <w:r>
              <w:rPr/>
              <w:t xml:space="preserve">1 </w:t>
            </w:r>
          </w:p>
        </w:tc>
      </w:tr>
    </w:tbl>
    <w:tbl>
      <w:tblPr>
        <w:tblW w:w="5000" w:type="pct"/>
        <w:jc w:val="start"/>
        <w:tblInd w:w="0" w:type="dxa"/>
        <w:tblLayout w:type="fixed"/>
        <w:tblCellMar>
          <w:top w:w="28" w:type="dxa"/>
          <w:start w:w="28" w:type="dxa"/>
          <w:bottom w:w="28" w:type="dxa"/>
          <w:end w:w="28" w:type="dxa"/>
        </w:tblCellMar>
      </w:tblPr>
      <w:tblGrid>
        <w:gridCol w:w="2137"/>
        <w:gridCol w:w="1982"/>
      </w:tblGrid>
      <w:tr>
        <w:trPr/>
        <w:tc>
          <w:tcPr>
            <w:tcW w:w="2137" w:type="dxa"/>
            <w:tcBorders/>
            <w:vAlign w:val="center"/>
          </w:tcPr>
          <w:p>
            <w:pPr>
              <w:pStyle w:val="TableContents"/>
              <w:bidi w:val="0"/>
              <w:spacing w:before="0" w:after="283"/>
              <w:jc w:val="start"/>
              <w:rPr/>
            </w:pPr>
            <w:r>
              <w:rPr/>
              <w:t xml:space="preserve">ACD/LogP: </w:t>
            </w:r>
          </w:p>
        </w:tc>
        <w:tc>
          <w:tcPr>
            <w:tcW w:w="1982" w:type="dxa"/>
            <w:tcBorders/>
            <w:vAlign w:val="center"/>
          </w:tcPr>
          <w:p>
            <w:pPr>
              <w:pStyle w:val="TableContents"/>
              <w:bidi w:val="0"/>
              <w:spacing w:before="0" w:after="283"/>
              <w:jc w:val="start"/>
              <w:rPr/>
            </w:pPr>
            <w:r>
              <w:rPr/>
              <w:t xml:space="preserve">5. 05 </w:t>
            </w:r>
          </w:p>
        </w:tc>
      </w:tr>
      <w:tr>
        <w:trPr/>
        <w:tc>
          <w:tcPr>
            <w:tcW w:w="2137" w:type="dxa"/>
            <w:tcBorders/>
            <w:vAlign w:val="center"/>
          </w:tcPr>
          <w:p>
            <w:pPr>
              <w:pStyle w:val="TableContents"/>
              <w:bidi w:val="0"/>
              <w:spacing w:before="0" w:after="283"/>
              <w:jc w:val="start"/>
              <w:rPr/>
            </w:pPr>
            <w:r>
              <w:rPr/>
              <w:t xml:space="preserve">ACD/LogD (pH 5. 5): </w:t>
            </w:r>
          </w:p>
        </w:tc>
        <w:tc>
          <w:tcPr>
            <w:tcW w:w="1982" w:type="dxa"/>
            <w:tcBorders/>
            <w:vAlign w:val="center"/>
          </w:tcPr>
          <w:p>
            <w:pPr>
              <w:pStyle w:val="TableContents"/>
              <w:bidi w:val="0"/>
              <w:spacing w:before="0" w:after="283"/>
              <w:jc w:val="start"/>
              <w:rPr/>
            </w:pPr>
            <w:r>
              <w:rPr/>
              <w:t xml:space="preserve">4. 49 </w:t>
            </w:r>
          </w:p>
        </w:tc>
      </w:tr>
      <w:tr>
        <w:trPr/>
        <w:tc>
          <w:tcPr>
            <w:tcW w:w="2137" w:type="dxa"/>
            <w:tcBorders/>
            <w:vAlign w:val="center"/>
          </w:tcPr>
          <w:p>
            <w:pPr>
              <w:pStyle w:val="TableContents"/>
              <w:bidi w:val="0"/>
              <w:spacing w:before="0" w:after="283"/>
              <w:jc w:val="start"/>
              <w:rPr/>
            </w:pPr>
            <w:r>
              <w:rPr/>
              <w:t xml:space="preserve">ACD/BCF (pH 5. 5): </w:t>
            </w:r>
          </w:p>
        </w:tc>
        <w:tc>
          <w:tcPr>
            <w:tcW w:w="1982" w:type="dxa"/>
            <w:tcBorders/>
            <w:vAlign w:val="center"/>
          </w:tcPr>
          <w:p>
            <w:pPr>
              <w:pStyle w:val="TableContents"/>
              <w:bidi w:val="0"/>
              <w:spacing w:before="0" w:after="283"/>
              <w:jc w:val="start"/>
              <w:rPr/>
            </w:pPr>
            <w:r>
              <w:rPr/>
              <w:t xml:space="preserve">1526. 22 </w:t>
            </w:r>
          </w:p>
        </w:tc>
      </w:tr>
      <w:tr>
        <w:trPr/>
        <w:tc>
          <w:tcPr>
            <w:tcW w:w="2137" w:type="dxa"/>
            <w:tcBorders/>
            <w:vAlign w:val="center"/>
          </w:tcPr>
          <w:p>
            <w:pPr>
              <w:pStyle w:val="TableContents"/>
              <w:bidi w:val="0"/>
              <w:spacing w:before="0" w:after="283"/>
              <w:jc w:val="start"/>
              <w:rPr/>
            </w:pPr>
            <w:r>
              <w:rPr/>
              <w:t xml:space="preserve">ACD/KOC (pH 5. 5): </w:t>
            </w:r>
          </w:p>
        </w:tc>
        <w:tc>
          <w:tcPr>
            <w:tcW w:w="1982" w:type="dxa"/>
            <w:tcBorders/>
            <w:vAlign w:val="center"/>
          </w:tcPr>
          <w:p>
            <w:pPr>
              <w:pStyle w:val="TableContents"/>
              <w:bidi w:val="0"/>
              <w:spacing w:before="0" w:after="283"/>
              <w:jc w:val="start"/>
              <w:rPr/>
            </w:pPr>
            <w:r>
              <w:rPr/>
              <w:t xml:space="preserve">6613. 51 </w:t>
            </w:r>
          </w:p>
        </w:tc>
      </w:tr>
      <w:tr>
        <w:trPr/>
        <w:tc>
          <w:tcPr>
            <w:tcW w:w="2137" w:type="dxa"/>
            <w:tcBorders/>
            <w:vAlign w:val="center"/>
          </w:tcPr>
          <w:p>
            <w:pPr>
              <w:pStyle w:val="TableContents"/>
              <w:bidi w:val="0"/>
              <w:spacing w:before="0" w:after="283"/>
              <w:jc w:val="start"/>
              <w:rPr/>
            </w:pPr>
            <w:r>
              <w:rPr/>
              <w:t xml:space="preserve">ACD/LogD (pH 7. 4): </w:t>
            </w:r>
          </w:p>
        </w:tc>
        <w:tc>
          <w:tcPr>
            <w:tcW w:w="1982" w:type="dxa"/>
            <w:tcBorders/>
            <w:vAlign w:val="center"/>
          </w:tcPr>
          <w:p>
            <w:pPr>
              <w:pStyle w:val="TableContents"/>
              <w:bidi w:val="0"/>
              <w:spacing w:before="0" w:after="283"/>
              <w:jc w:val="start"/>
              <w:rPr/>
            </w:pPr>
            <w:r>
              <w:rPr/>
              <w:t xml:space="preserve">4. 49 </w:t>
            </w:r>
          </w:p>
        </w:tc>
      </w:tr>
      <w:tr>
        <w:trPr/>
        <w:tc>
          <w:tcPr>
            <w:tcW w:w="2137" w:type="dxa"/>
            <w:tcBorders/>
            <w:vAlign w:val="center"/>
          </w:tcPr>
          <w:p>
            <w:pPr>
              <w:pStyle w:val="TableContents"/>
              <w:bidi w:val="0"/>
              <w:spacing w:before="0" w:after="283"/>
              <w:jc w:val="start"/>
              <w:rPr/>
            </w:pPr>
            <w:r>
              <w:rPr/>
              <w:t xml:space="preserve">ACD/BCF (pH 7. 4): </w:t>
            </w:r>
          </w:p>
        </w:tc>
        <w:tc>
          <w:tcPr>
            <w:tcW w:w="1982" w:type="dxa"/>
            <w:tcBorders/>
            <w:vAlign w:val="center"/>
          </w:tcPr>
          <w:p>
            <w:pPr>
              <w:pStyle w:val="TableContents"/>
              <w:bidi w:val="0"/>
              <w:spacing w:before="0" w:after="283"/>
              <w:jc w:val="start"/>
              <w:rPr/>
            </w:pPr>
            <w:r>
              <w:rPr/>
              <w:t xml:space="preserve">1526. 22 </w:t>
            </w:r>
          </w:p>
        </w:tc>
      </w:tr>
      <w:tr>
        <w:trPr/>
        <w:tc>
          <w:tcPr>
            <w:tcW w:w="2137" w:type="dxa"/>
            <w:tcBorders/>
            <w:vAlign w:val="center"/>
          </w:tcPr>
          <w:p>
            <w:pPr>
              <w:pStyle w:val="TableContents"/>
              <w:bidi w:val="0"/>
              <w:spacing w:before="0" w:after="283"/>
              <w:jc w:val="start"/>
              <w:rPr/>
            </w:pPr>
            <w:r>
              <w:rPr/>
              <w:t xml:space="preserve">ACD/KOC (pH 7. 4): </w:t>
            </w:r>
          </w:p>
        </w:tc>
        <w:tc>
          <w:tcPr>
            <w:tcW w:w="1982" w:type="dxa"/>
            <w:tcBorders/>
            <w:vAlign w:val="center"/>
          </w:tcPr>
          <w:p>
            <w:pPr>
              <w:pStyle w:val="TableContents"/>
              <w:bidi w:val="0"/>
              <w:spacing w:before="0" w:after="283"/>
              <w:jc w:val="start"/>
              <w:rPr/>
            </w:pPr>
            <w:r>
              <w:rPr/>
              <w:t xml:space="preserve">6613. 51 </w:t>
            </w:r>
          </w:p>
        </w:tc>
      </w:tr>
      <w:tr>
        <w:trPr/>
        <w:tc>
          <w:tcPr>
            <w:tcW w:w="2137" w:type="dxa"/>
            <w:tcBorders/>
            <w:vAlign w:val="center"/>
          </w:tcPr>
          <w:p>
            <w:pPr>
              <w:pStyle w:val="TableContents"/>
              <w:bidi w:val="0"/>
              <w:spacing w:before="0" w:after="283"/>
              <w:jc w:val="start"/>
              <w:rPr/>
            </w:pPr>
            <w:r>
              <w:rPr/>
              <w:t xml:space="preserve">Polar Surface Area: </w:t>
            </w:r>
          </w:p>
        </w:tc>
        <w:tc>
          <w:tcPr>
            <w:tcW w:w="1982" w:type="dxa"/>
            <w:tcBorders/>
            <w:vAlign w:val="center"/>
          </w:tcPr>
          <w:p>
            <w:pPr>
              <w:pStyle w:val="TableContents"/>
              <w:bidi w:val="0"/>
              <w:spacing w:before="0" w:after="283"/>
              <w:jc w:val="start"/>
              <w:rPr/>
            </w:pPr>
            <w:r>
              <w:rPr/>
              <w:t xml:space="preserve">0 Å </w:t>
            </w:r>
            <w:r>
              <w:rPr>
                <w:position w:val="8"/>
                <w:sz w:val="19"/>
              </w:rPr>
              <w:t xml:space="preserve">2 </w:t>
            </w:r>
          </w:p>
        </w:tc>
      </w:tr>
      <w:tr>
        <w:trPr/>
        <w:tc>
          <w:tcPr>
            <w:tcW w:w="2137" w:type="dxa"/>
            <w:tcBorders/>
            <w:vAlign w:val="center"/>
          </w:tcPr>
          <w:p>
            <w:pPr>
              <w:pStyle w:val="TableContents"/>
              <w:bidi w:val="0"/>
              <w:spacing w:before="0" w:after="283"/>
              <w:jc w:val="start"/>
              <w:rPr/>
            </w:pPr>
            <w:r>
              <w:rPr/>
              <w:t xml:space="preserve">Polarizability: </w:t>
            </w:r>
          </w:p>
        </w:tc>
        <w:tc>
          <w:tcPr>
            <w:tcW w:w="1982" w:type="dxa"/>
            <w:tcBorders/>
            <w:vAlign w:val="center"/>
          </w:tcPr>
          <w:p>
            <w:pPr>
              <w:pStyle w:val="TableContents"/>
              <w:bidi w:val="0"/>
              <w:spacing w:before="0" w:after="283"/>
              <w:jc w:val="start"/>
              <w:rPr/>
            </w:pPr>
            <w:r>
              <w:rPr/>
              <w:t xml:space="preserve">17. 2±0. 5 10 </w:t>
            </w:r>
            <w:r>
              <w:rPr>
                <w:position w:val="8"/>
                <w:sz w:val="19"/>
              </w:rPr>
              <w:t xml:space="preserve">-24 </w:t>
            </w:r>
            <w:r>
              <w:rPr/>
              <w:t xml:space="preserve">cm </w:t>
            </w:r>
            <w:r>
              <w:rPr>
                <w:position w:val="8"/>
                <w:sz w:val="19"/>
              </w:rPr>
              <w:t xml:space="preserve">3 </w:t>
            </w:r>
          </w:p>
        </w:tc>
      </w:tr>
      <w:tr>
        <w:trPr/>
        <w:tc>
          <w:tcPr>
            <w:tcW w:w="2137" w:type="dxa"/>
            <w:tcBorders/>
            <w:vAlign w:val="center"/>
          </w:tcPr>
          <w:p>
            <w:pPr>
              <w:pStyle w:val="TableContents"/>
              <w:bidi w:val="0"/>
              <w:spacing w:before="0" w:after="283"/>
              <w:jc w:val="start"/>
              <w:rPr/>
            </w:pPr>
            <w:r>
              <w:rPr/>
              <w:t xml:space="preserve">Surface Tension: </w:t>
            </w:r>
          </w:p>
        </w:tc>
        <w:tc>
          <w:tcPr>
            <w:tcW w:w="1982" w:type="dxa"/>
            <w:tcBorders/>
            <w:vAlign w:val="center"/>
          </w:tcPr>
          <w:p>
            <w:pPr>
              <w:pStyle w:val="TableContents"/>
              <w:bidi w:val="0"/>
              <w:spacing w:before="0" w:after="283"/>
              <w:jc w:val="start"/>
              <w:rPr/>
            </w:pPr>
            <w:r>
              <w:rPr/>
              <w:t xml:space="preserve">22. 7±3. 0 dyne/cm </w:t>
            </w:r>
          </w:p>
        </w:tc>
      </w:tr>
      <w:tr>
        <w:trPr/>
        <w:tc>
          <w:tcPr>
            <w:tcW w:w="2137" w:type="dxa"/>
            <w:tcBorders/>
            <w:vAlign w:val="center"/>
          </w:tcPr>
          <w:p>
            <w:pPr>
              <w:pStyle w:val="TableContents"/>
              <w:bidi w:val="0"/>
              <w:spacing w:before="0" w:after="283"/>
              <w:jc w:val="start"/>
              <w:rPr/>
            </w:pPr>
            <w:r>
              <w:rPr/>
              <w:t xml:space="preserve">Molar Volume: </w:t>
            </w:r>
          </w:p>
        </w:tc>
        <w:tc>
          <w:tcPr>
            <w:tcW w:w="1982" w:type="dxa"/>
            <w:tcBorders/>
            <w:vAlign w:val="center"/>
          </w:tcPr>
          <w:p>
            <w:pPr>
              <w:pStyle w:val="TableContents"/>
              <w:bidi w:val="0"/>
              <w:spacing w:before="0" w:after="283"/>
              <w:jc w:val="start"/>
              <w:rPr/>
            </w:pPr>
            <w:r>
              <w:rPr/>
              <w:t xml:space="preserve">172. 0±3. 0 cm </w:t>
            </w:r>
            <w:r>
              <w:rPr>
                <w:position w:val="8"/>
                <w:sz w:val="19"/>
              </w:rPr>
              <w:t xml:space="preserve">3 </w:t>
            </w:r>
          </w:p>
        </w:tc>
      </w:tr>
    </w:tbl>
    <w:p>
      <w:pPr>
        <w:pStyle w:val="TextBody"/>
        <w:bidi w:val="0"/>
        <w:spacing w:before="0" w:after="283"/>
        <w:jc w:val="start"/>
        <w:rPr/>
      </w:pPr>
      <w:r>
        <w:rPr/>
        <w:t xml:space="preserve">Predicted data is generated using the US Environmental Protection Agency’s EPISuite™ </w:t>
      </w:r>
    </w:p>
    <w:p>
      <w:pPr>
        <w:pStyle w:val="PreformattedText"/>
        <w:bidi w:val="0"/>
        <w:spacing w:before="0" w:after="0"/>
        <w:jc w:val="start"/>
        <w:rPr/>
      </w:pPr>
      <w:r>
        <w:rPr/>
        <w:t xml:space="preserve">   </w:t>
      </w:r>
      <w:r>
        <w:rPr/>
        <w:t>Log Octanol-Water Partition Coef (SRC): Log Kow (KOWWIN v1. 67 estimate) = 4. 68Boiling Pt, Melting Pt, Vapor Pressure Estimations (MPBPWIN v1. 42): Boiling Pt (deg C): 134. 86 (Adapted Stein &amp; Brown method)Melting Pt (deg C): -66. 30 (Mean or Weighted MP)VP(mm Hg, 25 deg C): 6. 46 (Mean VP of Antoine &amp; Grain methods)MP (exp database): -77. 8 deg CBP (exp database): 144. 8 deg CWater Solubility Estimate from Log Kow (WSKOW v1. 41): Water Solubility at 25 deg C (mg/L): 2. 776log Kow used: 4. 68 (estimated)no-melting pt equation usedWater Sol Estimate from Fragments: Wat Sol (v1. 01 est) = 2. 1226 mg/LECOSAR Class Program (ECOSAR v0. 99h): Class(es) found: Neutral OrganicsHenrys Law Constant (25 deg C) [HENRYWIN v3. 10]: Bond Method : 9. 90E-001 atm-m3/moleGroup Method: 1. 58E+000 atm-m3/moleHenrys LC [VP/WSol estimate using EPI values]: 3. 865E-001 atm-m3/moleLog Octanol-Air Partition Coefficient (25 deg C) [KOAWIN v1. 10]: Log Kow used: 4. 68 (KowWin est)Log Kaw used: 1. 607 (HenryWin est)Log Koa (KOAWIN v1. 10 estimate): 3. 073Log Koa (experimental database): NoneProbability of Rapid Biodegradation (BIOWIN v4. 10): Biowin1 (Linear Model) : 0. 7959Biowin2 (Non-Linear Model) : 0. 9552Expert Survey Biodegradation Results: Biowin3 (Ultimate Survey Model): 3. 2185 (weeks )Biowin4 (Primary Survey Model) : 3. 9347 (days )MITI Biodegradation Probability: Biowin5 (MITI Linear Model) : 0. 5968Biowin6 (MITI Non-Linear Model): 0. 7548Anaerobic Biodegradation Probability: Biowin7 (Anaerobic Linear Model): 0. 3421Ready Biodegradability Prediction: YESHydrocarbon Biodegradation (BioHCwin v1. 01): LOG BioHC Half-Life (days) : 0. 6147BioHC Half-Life (days) : 4. 1184Sorption to aerosols (25 Dec C)[AEROWIN v1. 00]: Vapor pressure (liquid/subcooled): 793 Pa (5. 95 mm Hg)Log Koa (Koawin est ): 3. 073Kp (particle/gas partition coef. (m3/ug)): Mackay model : 3. 78E-009 Octanol/air (Koa) model: 2. 9E-010 Fraction sorbed to airborne particulates (phi): Junge-Pankow model : 1. 37E-007 Mackay model : 3. 03E-007 Octanol/air (Koa) model: 2. 32E-008 Atmospheric Oxidation (25 deg C) [AopWin v1. 92]: Hydroxyl Radicals Reaction: OVERALL OH Rate Constant = 58. 2401 E-12 cm3/molecule-secHalf-Life = 0. 184 Days (12-hr day; 1. 5E6 OH/cm3)Half-Life = 2. 204 HrsOzone Reaction: OVERALL Ozone Rate Constant = 1. 200000 E-17 cm3/molecule-secHalf-Life = 0. 955 Days (at 7E11 mol/cm3)Half-Life = 22. 920 HrsFraction sorbed to airborne particulates (phi): 2. 2E-007 (Junge, Mackay)Note: the sorbed fraction may be resistant to atmospheric oxidationSoil Adsorption Coefficient (PCKOCWIN v1. 66): Koc : 783. 4Log Koc: 2. 894 Aqueous Base/Acid-Catalyzed Hydrolysis (25 deg C) [HYDROWIN v1. 67]: Rate constants can NOT be estimated for this structure! Bioaccumulation Estimates from Log Kow (BCFWIN v2. 17): Log BCF from regression-based method = 2. 904 (BCF = 802. 5)log Kow used: 4. 68 (estimated)Volatilization from Water: Henry LC: 0. 99 atm-m3/mole (estimated by Bond SAR Method)Half-Life from Model River: 1. 147 hoursHalf-Life from Model Lake : 106. 7 hours (4. 447 days)Removal In Wastewater Treatment (recommended maximum 95%): Total removal: 99. 81 percentTotal biodegradation: 0. 12 percentTotal sludge adsorption: 39. 40 percentTotal to Air: 60. 29 percent(using 10000 hr Bio P, A, S)Level III Fugacity Model: Mass Amount Half-Life Emissions(percent) (hr) (kg/hr)Air 2. 93 3. 7 1000 Water 45. 1 360 1000 Soil 26. 3 720 1000 Sediment 25. 7 3. 24e+003 0 Persistence Time: 135 hr</w:t>
      </w:r>
    </w:p>
    <w:p>
      <w:pPr>
        <w:pStyle w:val="PreformattedText"/>
        <w:bidi w:val="0"/>
        <w:spacing w:before="0" w:after="283"/>
        <w:jc w:val="start"/>
        <w:rPr/>
      </w:pPr>
      <w:r>
        <w:rPr/>
        <w:t xml:space="preserve">  </w:t>
      </w:r>
    </w:p>
    <w:p>
      <w:pPr>
        <w:pStyle w:val="TextBody"/>
        <w:bidi w:val="0"/>
        <w:spacing w:before="0" w:after="283"/>
        <w:jc w:val="start"/>
        <w:rPr/>
      </w:pPr>
      <w:r>
        <w:rPr/>
        <w:t xml:space="preserve">Click to predict properties on the Chemicalize 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https://assignbuster.com/2-methyl-1-octene-c9h18-structure/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2-methyl-1-octene c9h18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PreformattedText">
    <w:name w:val="Preformatted Text"/>
    <w:basedOn w:val="Normal"/>
    <w:qFormat/>
    <w:pPr>
      <w:spacing w:before="0" w:after="0"/>
    </w:pPr>
    <w:rPr>
      <w:rFonts w:ascii="Courier New" w:hAnsi="Courier New" w:eastAsia="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methyl-1-octene-c9h18-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2-methyl-1-octene c9h18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2-methyl-1-octene c9h18 structure</dc:title>
  <dc:subject>Others;</dc:subject>
  <dc:creator>AssignBuster</dc:creator>
  <cp:keywords/>
  <dc:description>4 C Molar Refractivity 43.3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