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"https://assignbuster.com/industrial-forces-case-study-examples/"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Industrial forces case study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- Competitive rivalry </w:t>
        <w:br/>
        <w:t xml:space="preserve">- Moderate power </w:t>
        <w:br/>
        <w:t xml:space="preserve">- Product differentiation is low between Gentex and its competitors </w:t>
        <w:br/>
        <w:t xml:space="preserve">- Growth is slow </w:t>
        <w:br/>
        <w:t xml:space="preserve">- Fixed costs are high </w:t>
        <w:br/>
        <w:t xml:space="preserve">- Overcapacity of parts </w:t>
        <w:br/>
        <w:t xml:space="preserve">- Lack of brand identity of the company. </w:t>
        <w:br/>
        <w:t xml:space="preserve">- The absence of switching costs among the company’s products </w:t>
        <w:br/>
        <w:t xml:space="preserve">- Buyer power </w:t>
        <w:br/>
        <w:t xml:space="preserve">- A low number of potential buyers therefore increasing their buying or bargaining power. </w:t>
        <w:br/>
        <w:t xml:space="preserve">- Lack of favorable buyer incentives </w:t>
        <w:br/>
        <w:t xml:space="preserve">- Large volumes and sizes of customers orders of the auto parts that increase or raise their power </w:t>
        <w:br/>
        <w:t xml:space="preserve">- Threat of backward integration that increases the buyer’s power </w:t>
        <w:br/>
        <w:t xml:space="preserve">- Threat of substitutes </w:t>
        <w:br/>
        <w:t xml:space="preserve">- Presence of other auto parts products that match the performance and price of Gentex company </w:t>
        <w:br/>
        <w:t xml:space="preserve">- Gentex’s customer’s willingness to migrate or switch to other products or substitutes </w:t>
        <w:br/>
        <w:t xml:space="preserve">- Lack of switching costs that may encourage the customers to start using auto parts from other producers. </w:t>
        <w:br/>
        <w:t xml:space="preserve">- The inclination of the buyer towards the substitutes from other companies competing with Gentex </w:t>
        <w:br/>
        <w:t xml:space="preserve">- Threat of new entrants </w:t>
        <w:br/>
        <w:t xml:space="preserve">- The barriers that inhibit the entrance of other producers to the auto industry markets are minimal. </w:t>
        <w:br/>
        <w:t xml:space="preserve">- Lack of legal and regulatory restrictions in the industry </w:t>
        <w:br/>
        <w:t xml:space="preserve">- Large cost units that make it relatively easy for new entrants to enter the market and attain a significant market share. </w:t>
        <w:br/>
        <w:t xml:space="preserve">- Lack of retaliation techniques from Gentex Company to counter the threat of new entrants. </w:t>
        <w:br/>
        <w:t xml:space="preserve">- Wide access to distribution and supply channels by the new entrants therefore enabling them enter into the auto parts market in a relatively easy way </w:t>
        <w:br/>
        <w:t xml:space="preserve">- Supplier power </w:t>
        <w:br/>
        <w:t xml:space="preserve">- Small number of suppliers that supply raw products to Gentex thereby enabling them to have high supply power. </w:t>
        <w:br/>
        <w:t xml:space="preserve">- High switching costs between suppliers </w:t>
        <w:br/>
        <w:t xml:space="preserve">- The threat of suppliers to engage in vertical integration </w:t>
        <w:br/>
        <w:t xml:space="preserve">- Wide input differentiation between alternative suppliers </w:t>
        <w:br/>
        <w:t xml:space="preserve">- A relatively large effect of the inputs on the differentiation of products and their cost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Porter, M. E. The Five Competitive Forces That Shape Strategy. Harvard business Review. 2008. </w:t>
        <w:br/>
        <w:t xml:space="preserve">Kotner, Wesley. Marketing Strategy. Oakland, CA: Stanton Publishers. 2011.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https://assignbuster.com/industrial-forces-case-study-examples/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Industrial forces case study examples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Industrial forces case study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forces case study examples</dc:title>
  <dc:subject>Business;Company</dc:subject>
  <dc:creator>AssignBuster</dc:creator>
  <cp:keywords/>
  <dc:description>The Five Competitive Forces That Shape Strategy.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