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"https://assignbuster.com/free-research-proposal-on-problem-statement/"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research proposal on problem statement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implementing-integrated-clinical-pathways">
        <w:r>
          <w:rPr>
            <w:rStyle w:val="a8"/>
          </w:rPr>
          <w:t xml:space="preserve">Implementing Integrated Clinical Pathways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search-questions">
        <w:r>
          <w:rPr>
            <w:rStyle w:val="a8"/>
          </w:rPr>
          <w:t xml:space="preserve">Research Questions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search-objectives">
        <w:r>
          <w:rPr>
            <w:rStyle w:val="a8"/>
          </w:rPr>
          <w:t xml:space="preserve">Research Objectives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ferences">
        <w:r>
          <w:rPr>
            <w:rStyle w:val="a8"/>
          </w:rPr>
          <w:t xml:space="preserve">References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Heading2"/>
        <w:bidi w:val="0"/>
        <w:jc w:val="start"/>
        <w:rPr/>
      </w:pPr>
      <w:bookmarkStart w:id="1" w:name="implementing-integrated-clinical-pathway"/>
      <w:bookmarkEnd w:id="1"/>
      <w:r>
        <w:rPr/>
        <w:t xml:space="preserve">Implementing Integrated Clinical Pathways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Clinical pathways refer to anticipated recovery pathways or care pathways integrated and coordinated, in an effort to describe the expected clinical course of a patient's clinical problems (Li, Kecheng, Yang, &amp; Yu, 2013). They identify the shortfalls associated with the adopted medical standards (Lenz &amp; Reichert, 2005). The paper clinical pathways have challenges that can be eliminated by integration of information systems in the clinical pathways procedures. These shortfalls arise from inaccurate communication involved in paper-based clinical pathways (Mathe, 2009). This paper proposes integrated clinical pathways with an aim of embedding knowledge into existing hospital information systems and treatment policies. </w:t>
      </w:r>
    </w:p>
    <w:p>
      <w:pPr>
        <w:pStyle w:val="Heading2"/>
        <w:bidi w:val="0"/>
        <w:jc w:val="start"/>
        <w:rPr/>
      </w:pPr>
      <w:bookmarkStart w:id="2" w:name="research-questions"/>
      <w:bookmarkEnd w:id="2"/>
      <w:r>
        <w:rPr/>
        <w:t xml:space="preserve">Research Questions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What are the benefits of integrated clinical pathways? </w:t>
        <w:br/>
        <w:t xml:space="preserve">- What are the associated costs and challenges? </w:t>
        <w:br/>
        <w:t xml:space="preserve">- How can the integrated clinical pathways be implemented? </w:t>
      </w:r>
    </w:p>
    <w:p>
      <w:pPr>
        <w:pStyle w:val="Heading2"/>
        <w:bidi w:val="0"/>
        <w:jc w:val="start"/>
        <w:rPr/>
      </w:pPr>
      <w:bookmarkStart w:id="3" w:name="research-objectives"/>
      <w:bookmarkEnd w:id="3"/>
      <w:r>
        <w:rPr/>
        <w:t xml:space="preserve">Research Objectives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has an objective of integrating information systems in clinical pathways, which help in developing a structured approach in implementation of care protocols based on the set clinical guidelines. </w:t>
      </w:r>
    </w:p>
    <w:p>
      <w:pPr>
        <w:pStyle w:val="Heading2"/>
        <w:bidi w:val="0"/>
        <w:jc w:val="start"/>
        <w:rPr/>
      </w:pPr>
      <w:bookmarkStart w:id="4" w:name="references"/>
      <w:bookmarkEnd w:id="4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Abidi, SSR (2008) Healthcare knowledge management: the art of the possible. In Proceedings of the Conference on Knowledge Management for Health Care Procedures Riaño D, Ed pp 1–20, Springer, Berlin, Heidelberg, Germany. </w:t>
        <w:br/>
        <w:t xml:space="preserve">Fleming, M and Wentzell, N (2008) Patient safety culture improvement tool: development and guidelines for use. Healthcare Quarterly 11(Sp), 10–15. </w:t>
        <w:br/>
        <w:t xml:space="preserve">Isern, D, Sánchez, D and Moreno, A (2010) Agents applied in health care: a review. International Journal of Medical Informatics 79(3), 145–166. </w:t>
        <w:br/>
        <w:t xml:space="preserve">Lenz, R., &amp; Reichert, M. (2005). IT Support for Healthcare Processes. In W. M. Aalst, B. Benatallah, &amp; F. C. , Business Process Management (pp. 354-363). Berlin: Springer Berlin Heidelberg. </w:t>
        <w:br/>
        <w:t xml:space="preserve">Li, W., K. L., Yang, H., &amp; Yu, C. (2013, May 28). Integrated clinical pathway management for medical quality improvement – based on a semiotically inspired systems architecture. Retrieved from Palgrave Macmillan: http://www. palgrave-journals. com/ejis/journal/vaop/ncurrent/full/ejis20139a. html </w:t>
        <w:br/>
        <w:t xml:space="preserve">Mathe, J. L. (2009). A model-integrated, guideline-driven, clinical decision-support system. IEEE, 56-61. </w:t>
        <w:br/>
        <w:t xml:space="preserve">Quensland Government. (2013). Clinical Pathways. Retrieved from Quensland Health: http://www. health. qld. gov. au/caru/pathways/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https://assignbuster.com/free-research-proposal-on-problem-statement/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research proposal on problem statem...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research proposal on problem statement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research proposal on problem statement</dc:title>
  <dc:subject>Business;Management</dc:subject>
  <dc:creator>AssignBuster</dc:creator>
  <cp:keywords/>
  <dc:description> Clinical pathways refer to anticipated recovery pathways or care pathways integrated and coordinated, in an effort to describe the expected clinical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