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"https://assignbuster.com/life-stage-or-levinson-model/"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Life stage or levinson model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Personally, as a student of 21 years and in a foreign country, it can be considered to be in this phase following migration to a new country that is away from home and following attempts to take a job away from their parents. The above shows my attempts, according to Levinson, to establish independence away from my parents and away from my comfort zone, in which emotional, attitudinal, and physical attachment as new relationships are established. As a student studying abroad, this phase is evident as parents and all familial ties are left in the mother nation as one seeks independence a classic application in real life. In addition, Levinson talks of the transitional stage, where one makes choices in his or her own life that may alter their means of living although not drastically. This is considered a transition as one makes choices for himself aside from parental decisions that have been made since childhood. As a foreign student, I am left me in a position to make crucial life-changing decisions for myself as opposed to living with the parents, who tend to make all the important decisions. </w:t>
        <w:br/>
        <w:t xml:space="preserve">In conclusion, as a 21-year-old student, my life clearly illustrates the Levinson model quite well due to the severance of dependency and attachment on a familial basis, as well as decision-making. As a result, the Levinson's perspective evidences one as a young adult in the transitional phase from dependence to independence.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https://assignbuster.com/life-stage-or-levinson-model/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Life stage or levinson model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 stage or levinson model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stage or levinson model</dc:title>
  <dc:subject>Science;Social Science</dc:subject>
  <dc:creator>AssignBuster</dc:creator>
  <cp:keywords/>
  <dc:description>Personally, as a student of 21 years and in a foreign country, it can be considered to be in this phase following migration to a new country that is a...</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