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"https://assignbuster.com/viewing-disability-binary-vs-continuum/"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Viewing disability binary vs. continuum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Social Science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 of the paper will begin with the statement that defining the parameters associated with a disability has always been problematic, as the majority would rather view it in a binary sense as opposed to seeing it as a continuum. It is ironical that a survey conducted by the United Nations in 1990 showed a lesser disability prevalence in countries that were underdeveloped than in developed countries (Schelly, 2008). This is due to the contextual and social structure of disability in more developed countries where a bigger number of industrial, road accidents, and more developed health services constitute a higher survival rate but numerous disabilities. </w:t>
        <w:br/>
        <w:t xml:space="preserve">In this regard, viewing disability in a binary sense would be unfair as persons who have suffered disabilities because of one reason or the other. Therefore, it should be seen as a continuum and hence set as a bio-psychosocial representation incorporating both social and medical forms of disability. According to the research findings, it can, therefore, be said that a binary view of disability would further hinder an interactive and accommodative situation of the complexities of his or her impairment or disability and the environment.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https://assignbuster.com/viewing-disability-binary-vs-continuum/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Viewing disability binary vs. continuum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social-sci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Viewing disability binary vs. continuum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Viewing disability binary vs. continuum</dc:title>
  <dc:subject>Science;Social Science</dc:subject>
  <dc:creator>AssignBuster</dc:creator>
  <cp:keywords/>
  <dc:description>The author of the paper will begin with the statement that defining the parameters associated with a disability has always been problematic, as the ma...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Science;Social Science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