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"https://assignbuster.com/the-essence-of-the-between-groups/"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essence of the between groups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advantages and disadvantages to both approaches. In the ‘ between groups’ approach participants are less likely to become bored as in the ‘ within group’ approach because they are only used for one treatment. Therefore, they are more likely to entertain follow up treatments than is the case with the ‘ within group’ approach where participants may not complete the tests. The ‘ within group’ is less costly when compared to the ‘ between groups’ approach as it involves only one group on which more than one treatment is administered while the ‘ between groups’ approach require more than one group. Therefore, the number of participants subjected to tests are half as much as in the ‘ between groups’ approach. Additionally, the ‘ within group’ approach is less error-prone since the same subjects are used for both tests whiles the ‘ between groups’ approach is negatively impacted by individual differences. The effect of the first treatment on the second treatment is a major disadvantage of the ‘ within group’ approach. </w:t>
        <w:br/>
        <w:t xml:space="preserve">The main differences between the two approaches need to be clearly understood in order to facilitate a determination of the statistical tests to be employed so that inferences can be made. Paired t-Tests is useful in analyzing ‘ within group’ designs while independent t-Tests is useful for analyzing data for ‘ between groups’ designs.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https://assignbuster.com/the-essence-of-the-between-groups/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essence of the between groups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essence of the between groups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essence of the between groups</dc:title>
  <dc:subject>Business;Human Resources</dc:subject>
  <dc:creator>AssignBuster</dc:creator>
  <cp:keywords/>
  <dc:description>In the ' between groups' approach participants are less likely to become bored as in the ' within group' approach because they are only used for one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