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"https://assignbuster.com/case-study-on-running-headequity-evaluation/"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Case study on running headequity evaluation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limitations-of-dcf-calculation">
        <w:r>
          <w:rPr>
            <w:rStyle w:val="a8"/>
          </w:rPr>
          <w:t xml:space="preserve">Limitations of DCF calculation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e-cost-of-capital">
        <w:r>
          <w:rPr>
            <w:rStyle w:val="a8"/>
          </w:rPr>
          <w:t xml:space="preserve">The cost of capital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analysis carried out on the MAD mining business, there were assumptions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growth projected during the 2012-2013 year is assumed to take a more or less non variation trend over the period over of study. Hence the growth of variables under consideration changes at the same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has been a general assumption that there were no credit lines at the start of the 2012-2013 periods. This means that all the financing arrangements are made for assets that require heavy financial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has been a general assumption that MAD mining picks up from mixed fortunes by ensuring $million from the coal contract to ensure that the firm remains afloat from revenue surges.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along, the plant has been operating below capacity, and this is the primary reason why there has not been so much change in the tangible assets. </w:t>
      </w:r>
    </w:p>
    <w:p>
      <w:pPr>
        <w:pStyle w:val="Heading2"/>
        <w:bidi w:val="0"/>
        <w:jc w:val="start"/>
        <w:rPr/>
      </w:pPr>
      <w:bookmarkStart w:id="1" w:name="limitations-of-dcf-calculation"/>
      <w:bookmarkEnd w:id="1"/>
      <w:r>
        <w:rPr/>
        <w:t xml:space="preserve">Limitations of DCF calculation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tiresome exercise, considering that all the values have to be expressed in present value.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discounted value often used (in this case 10%) does not always reflect the economic realities of finance. Hence the courses of action taken on basis of this analysis may be more or less misguided.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wake of extreme mathematical calculations, it is not always easy to attain a right amount unless extra attention in invested in the analysis. </w:t>
      </w:r>
    </w:p>
    <w:p>
      <w:pPr>
        <w:pStyle w:val="Heading2"/>
        <w:bidi w:val="0"/>
        <w:jc w:val="start"/>
        <w:rPr/>
      </w:pPr>
      <w:bookmarkStart w:id="2" w:name="the-cost-of-capital"/>
      <w:bookmarkEnd w:id="2"/>
      <w:r>
        <w:rPr/>
        <w:t xml:space="preserve">The cost of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 value of the revenue due in the future. </w:t>
        <w:br/>
        <w:t xml:space="preserve">Other methods of evaluating MAD mining in place of discounted cash flow analysis. </w:t>
        <w:br/>
        <w:t xml:space="preserve">Profitability index </w:t>
        <w:br/>
        <w:t xml:space="preserve">Payback period projects undertaken. </w:t>
        <w:br/>
        <w:t xml:space="preserve">The above are non-discounted methods, which do not take into consideration the time value of money, only the revenues generated against expenses. </w:t>
      </w:r>
    </w:p>
    <w:p>
      <w:pPr>
        <w:pStyle w:val="Heading2"/>
        <w:bidi w:val="0"/>
        <w:jc w:val="start"/>
        <w:rPr/>
      </w:pPr>
      <w:bookmarkStart w:id="3" w:name="references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Morgan, W. A.(2001). Petroleum provinces of the twenty-first century. s. l.: AAPG. </w:t>
        <w:br/>
        <w:t xml:space="preserve">Morita, Y.(2005). Reviewing the fundermental prices of WTI oil. Energy economics, pp. 31(2), </w:t>
        <w:br/>
        <w:t xml:space="preserve">34-9. </w:t>
        <w:br/>
        <w:t xml:space="preserve">Morse, J.(1998). Designing funded qualitative research. strategies of qualitative research, pp. 56- </w:t>
        <w:br/>
        <w:t xml:space="preserve">85. </w:t>
        <w:br/>
        <w:t xml:space="preserve">National Audit Office (2009). Uk Trade and Investment: Trade Support. s. l.: The Stationery Office. </w:t>
        <w:br/>
        <w:t xml:space="preserve">Nicholson, S. W. &amp; Bennett, T. B., 2009. Transparent Practices: Primary and Secondary Data in </w:t>
        <w:br/>
        <w:t xml:space="preserve">Business Ethics Dissertations. Journal of Business Ethics, 84(3), pp. 417-425. </w:t>
        <w:br/>
        <w:t xml:space="preserve">Noreng, Ø.(1980). The mining industry and government strategy in the North Sea. s. l.: Taylor &amp; </w:t>
        <w:br/>
        <w:t xml:space="preserve">Francis. </w:t>
        <w:br/>
        <w:t xml:space="preserve">OECD,(2009). OECD Economic Surveys: Brazil 2009. s. l.: OECD Publishing.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https://assignbuster.com/case-study-on-running-headequity-evaluation/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Case study on running headequity evaluat...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Case study on running headequity evaluation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on running headequity evaluation</dc:title>
  <dc:subject>Finance;Investment</dc:subject>
  <dc:creator>AssignBuster</dc:creator>
  <cp:keywords/>
  <dc:description>The present value of the revenue due in the future.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