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"https://assignbuster.com/san-diego-international-airport-architectural-peculiarities/"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San diego international airport architectural peculiarities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"https://assignbuster.com/essay-subjects/design/"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Design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Architecture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passenger growth will reach to 17. 4 billion by 2030 and there is required more runway space to cater to this large number of passenger growth on an annual basis. The cargo will increase by 4. 8 per cent annually whereas, the cargo operations will increase by slightly less momentum than the cargo. The master plan caters to all these issues in a direct and comprehensive manner. The current master plan has catered to all the airport facilities, tenants, airlines, off-airport or transit plan, process to involve public, retail enhancement plan, environmental plan and financial plan for all the facilities at the airport. The new plan has expanded the Terminal 2 West and provided space for 10 jets, constructed new apron, taxi lane, second-level curb, parking structure, vehicle circulation, new access road, hangars and apron based on 12. 4 acres of land. It will reconstruct the taxiway C, demolish the standing facilities at the airport and relocate the SAN Park Pacific Highway (‘ Master Plan’, 2012).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https://assignbuster.com/san-diego-international-airport-architectural-peculiarities/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San diego international airport architec...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design/archite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San diego international airport architectural peculiarities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international airport architectural peculiarities</dc:title>
  <dc:subject>Design;Architecture</dc:subject>
  <dc:creator>AssignBuster</dc:creator>
  <cp:keywords/>
  <dc:description>The cargo will increase by 4.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Design;Architecture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