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"https://assignbuster.com/hazards-of-carbon-dioxide-fire-suppression-system/"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Hazards of carbon dioxide fire suppression system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risk associated with installing and using Carbon Dioxide as a fire suppressant in an occupied area lies in its adverse health effects to human physiology. For carbon dioxide to be effective as a total flooding fire suppressant, a minimum design of 34% concentration is needed. However, laboratory testing and simulation of carbon dioxide fire suppressant use indicate that concentrations greater than 17% results to loss of controlled and purposeful activity, convulsions, unconsciousness, coma and even death within 1 minute of initial inhalation (OSHA, 1999). </w:t>
        <w:br/>
        <w:t xml:space="preserve">Even at 10-17% concentrations, carbon dioxide inhalation has been shown by Wong (1992) to result in drowsiness, severe muscle twitching and even unconsciousness. At 7 to 10 percent, headaches, visual and hearing dysfunction, hallucination and shortness of breath have been observed. At a minimum of 34% designed concentration for effectiveness, Carbon dioxide suppression systems are lethal. Any inadvertent discharge of the carbon dioxide in an occupied room can cause death quickly and without warning. </w:t>
        <w:br/>
        <w:t xml:space="preserve">The National Fire Protection Agency and the Occupational Safety and Health Authority have established guidelines such that human exposure does not occur during fire-fighting events but documented cases occurred during system installation, commissioning and maintenance because many of the servicemen lack the necessary knowledge and training.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https://assignbuster.com/hazards-of-carbon-dioxide-fire-suppression-system/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Hazards of carbon dioxide fire suppressi...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Hazards of carbon dioxide fire suppression system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Hazards of carbon dioxide fire suppression system</dc:title>
  <dc:subject>Science;Chemistry</dc:subject>
  <dc:creator>AssignBuster</dc:creator>
  <cp:keywords/>
  <dc:description>However, laboratory testing and simulation of carbon dioxide fire suppressant use indicate that concentrations greater than 17% results to loss of con...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