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"https://assignbuster.com/research-proposal-on-the-current-australian-medical-policy/"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the current australian medical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overview">
        <w:r>
          <w:rPr>
            <w:rStyle w:val="a8"/>
          </w:rPr>
          <w:t xml:space="preserve">Project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summary">
        <w:r>
          <w:rPr>
            <w:rStyle w:val="a8"/>
          </w:rPr>
          <w:t xml:space="preserve">Research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cont">
        <w:r>
          <w:rPr>
            <w:rStyle w:val="a8"/>
          </w:rPr>
          <w:t xml:space="preserve">Ref. Cont. </w:t>
        </w:r>
      </w:hyperlink>
      <w:r>
        <w:rPr/>
        <w:t xml:space="preserve">\n </w:t>
      </w:r>
    </w:p>
    <w:p>
      <w:pPr>
        <w:pStyle w:val="TextBody"/>
        <w:bidi w:val="0"/>
        <w:jc w:val="start"/>
        <w:rPr/>
      </w:pPr>
      <w:r>
        <w:rPr/>
        <w:t xml:space="preserve">\n[/toc]\n \n </w:t>
      </w:r>
    </w:p>
    <w:p>
      <w:pPr>
        <w:pStyle w:val="Heading2"/>
        <w:bidi w:val="0"/>
        <w:jc w:val="start"/>
        <w:rPr/>
      </w:pPr>
      <w:bookmarkStart w:id="1" w:name="statement-of-the-problem"/>
      <w:bookmarkEnd w:id="1"/>
      <w:r>
        <w:rPr/>
        <w:t xml:space="preserve">Statement of the Problem </w:t>
      </w:r>
    </w:p>
    <w:p>
      <w:pPr>
        <w:pStyle w:val="TextBody"/>
        <w:bidi w:val="0"/>
        <w:spacing w:before="0" w:after="283"/>
        <w:jc w:val="start"/>
        <w:rPr/>
      </w:pPr>
      <w:r>
        <w:rPr/>
        <w:t xml:space="preserve">The current Australian medical policy aimed to provide its citizens with cheaper healthcare services and products through the strategy of generic products manufacture, supply and distribution is of a disadvantage to the country and people’s socioeconomic development mainly because of the compromised set of standards and quality of the products and services. </w:t>
      </w:r>
    </w:p>
    <w:p>
      <w:pPr>
        <w:pStyle w:val="Heading2"/>
        <w:bidi w:val="0"/>
        <w:jc w:val="start"/>
        <w:rPr/>
      </w:pPr>
      <w:bookmarkStart w:id="2" w:name="project-overview"/>
      <w:bookmarkEnd w:id="2"/>
      <w:r>
        <w:rPr/>
        <w:t xml:space="preserve">Project Overview </w:t>
      </w:r>
    </w:p>
    <w:p>
      <w:pPr>
        <w:pStyle w:val="TextBody"/>
        <w:bidi w:val="0"/>
        <w:spacing w:before="0" w:after="283"/>
        <w:jc w:val="start"/>
        <w:rPr/>
      </w:pPr>
      <w:r>
        <w:rPr/>
        <w:t xml:space="preserve">Generic products have proliferated in Australia through legal government support both in policy formulations and financial means to reduce poor healthcare services for riskier diseases . </w:t>
      </w:r>
    </w:p>
    <w:p>
      <w:pPr>
        <w:pStyle w:val="TextBody"/>
        <w:bidi w:val="0"/>
        <w:spacing w:before="0" w:after="283"/>
        <w:jc w:val="start"/>
        <w:rPr/>
      </w:pPr>
      <w:r>
        <w:rPr/>
        <w:t xml:space="preserve">The introduction of the strategy was geared towards reduction of overdependence on expensive medical products by the poor in healing diseases which take long duration before they are healed, or those which need to reduce severity to sustain life . </w:t>
      </w:r>
    </w:p>
    <w:p>
      <w:pPr>
        <w:pStyle w:val="TextBody"/>
        <w:bidi w:val="0"/>
        <w:spacing w:before="0" w:after="283"/>
        <w:jc w:val="start"/>
        <w:rPr/>
      </w:pPr>
      <w:r>
        <w:rPr/>
        <w:t xml:space="preserve">This paper focus on the impacts antiepileptic generic products for the treatment of epilepsy, and concentrates mainly on the areas of </w:t>
      </w:r>
    </w:p>
    <w:p>
      <w:pPr>
        <w:pStyle w:val="Heading2"/>
        <w:bidi w:val="0"/>
        <w:jc w:val="start"/>
        <w:rPr/>
      </w:pPr>
      <w:bookmarkStart w:id="3" w:name="research-summary"/>
      <w:bookmarkEnd w:id="3"/>
      <w:r>
        <w:rPr/>
        <w:t xml:space="preserve">Research summary </w:t>
      </w:r>
    </w:p>
    <w:p>
      <w:pPr>
        <w:pStyle w:val="TextBody"/>
        <w:numPr>
          <w:ilvl w:val="0"/>
          <w:numId w:val="3"/>
        </w:numPr>
        <w:tabs>
          <w:tab w:val="clear" w:pos="1134"/>
          <w:tab w:val="left" w:pos="709" w:leader="none"/>
        </w:tabs>
        <w:bidi w:val="0"/>
        <w:spacing w:before="0" w:after="0"/>
        <w:ind w:start="709" w:hanging="283"/>
        <w:jc w:val="start"/>
        <w:rPr/>
      </w:pPr>
      <w:r>
        <w:rPr/>
        <w:t xml:space="preserve">Introduction </w:t>
      </w:r>
    </w:p>
    <w:p>
      <w:pPr>
        <w:pStyle w:val="TextBody"/>
        <w:numPr>
          <w:ilvl w:val="0"/>
          <w:numId w:val="3"/>
        </w:numPr>
        <w:tabs>
          <w:tab w:val="clear" w:pos="1134"/>
          <w:tab w:val="left" w:pos="709" w:leader="none"/>
        </w:tabs>
        <w:bidi w:val="0"/>
        <w:spacing w:before="0" w:after="0"/>
        <w:ind w:start="709" w:hanging="283"/>
        <w:jc w:val="start"/>
        <w:rPr/>
      </w:pPr>
      <w:r>
        <w:rPr/>
        <w:t xml:space="preserve">Aims and objectives </w:t>
      </w:r>
    </w:p>
    <w:p>
      <w:pPr>
        <w:pStyle w:val="TextBody"/>
        <w:numPr>
          <w:ilvl w:val="0"/>
          <w:numId w:val="3"/>
        </w:numPr>
        <w:tabs>
          <w:tab w:val="clear" w:pos="1134"/>
          <w:tab w:val="left" w:pos="709" w:leader="none"/>
        </w:tabs>
        <w:bidi w:val="0"/>
        <w:spacing w:before="0" w:after="0"/>
        <w:ind w:start="709" w:hanging="283"/>
        <w:jc w:val="start"/>
        <w:rPr/>
      </w:pPr>
      <w:r>
        <w:rPr/>
        <w:t xml:space="preserve">Literature review </w:t>
      </w:r>
    </w:p>
    <w:p>
      <w:pPr>
        <w:pStyle w:val="TextBody"/>
        <w:numPr>
          <w:ilvl w:val="0"/>
          <w:numId w:val="3"/>
        </w:numPr>
        <w:tabs>
          <w:tab w:val="clear" w:pos="1134"/>
          <w:tab w:val="left" w:pos="709" w:leader="none"/>
        </w:tabs>
        <w:bidi w:val="0"/>
        <w:spacing w:before="0" w:after="0"/>
        <w:ind w:start="709" w:hanging="283"/>
        <w:jc w:val="start"/>
        <w:rPr/>
      </w:pPr>
      <w:r>
        <w:rPr/>
        <w:t xml:space="preserve">Design and methodology </w:t>
      </w:r>
    </w:p>
    <w:p>
      <w:pPr>
        <w:pStyle w:val="TextBody"/>
        <w:numPr>
          <w:ilvl w:val="0"/>
          <w:numId w:val="3"/>
        </w:numPr>
        <w:tabs>
          <w:tab w:val="clear" w:pos="1134"/>
          <w:tab w:val="left" w:pos="709" w:leader="none"/>
        </w:tabs>
        <w:bidi w:val="0"/>
        <w:ind w:start="709" w:hanging="283"/>
        <w:jc w:val="start"/>
        <w:rPr/>
      </w:pPr>
      <w:r>
        <w:rPr/>
        <w:t xml:space="preserve">Conclusion </w:t>
      </w:r>
    </w:p>
    <w:p>
      <w:pPr>
        <w:pStyle w:val="Heading2"/>
        <w:bidi w:val="0"/>
        <w:jc w:val="start"/>
        <w:rPr/>
      </w:pPr>
      <w:bookmarkStart w:id="4" w:name="introduction"/>
      <w:bookmarkEnd w:id="4"/>
      <w:r>
        <w:rPr/>
        <w:t xml:space="preserve">Introduction </w:t>
      </w:r>
    </w:p>
    <w:p>
      <w:pPr>
        <w:pStyle w:val="TextBody"/>
        <w:bidi w:val="0"/>
        <w:spacing w:before="0" w:after="283"/>
        <w:jc w:val="start"/>
        <w:rPr/>
      </w:pPr>
      <w:r>
        <w:rPr/>
        <w:t xml:space="preserve">Historical ways towards affordable medical care </w:t>
      </w:r>
    </w:p>
    <w:p>
      <w:pPr>
        <w:pStyle w:val="TextBody"/>
        <w:numPr>
          <w:ilvl w:val="0"/>
          <w:numId w:val="4"/>
        </w:numPr>
        <w:tabs>
          <w:tab w:val="clear" w:pos="1134"/>
          <w:tab w:val="left" w:pos="709" w:leader="none"/>
        </w:tabs>
        <w:bidi w:val="0"/>
        <w:spacing w:before="0" w:after="0"/>
        <w:ind w:start="709" w:hanging="283"/>
        <w:jc w:val="start"/>
        <w:rPr/>
      </w:pPr>
      <w:r>
        <w:rPr/>
        <w:t xml:space="preserve">Government projects </w:t>
      </w:r>
    </w:p>
    <w:p>
      <w:pPr>
        <w:pStyle w:val="TextBody"/>
        <w:numPr>
          <w:ilvl w:val="0"/>
          <w:numId w:val="4"/>
        </w:numPr>
        <w:tabs>
          <w:tab w:val="clear" w:pos="1134"/>
          <w:tab w:val="left" w:pos="709" w:leader="none"/>
        </w:tabs>
        <w:bidi w:val="0"/>
        <w:spacing w:before="0" w:after="0"/>
        <w:ind w:start="709" w:hanging="283"/>
        <w:jc w:val="start"/>
        <w:rPr/>
      </w:pPr>
      <w:r>
        <w:rPr/>
        <w:t xml:space="preserve">Pharmaceutical benefit scheme </w:t>
      </w:r>
    </w:p>
    <w:p>
      <w:pPr>
        <w:pStyle w:val="TextBody"/>
        <w:numPr>
          <w:ilvl w:val="0"/>
          <w:numId w:val="4"/>
        </w:numPr>
        <w:tabs>
          <w:tab w:val="clear" w:pos="1134"/>
          <w:tab w:val="left" w:pos="709" w:leader="none"/>
        </w:tabs>
        <w:bidi w:val="0"/>
        <w:spacing w:before="0" w:after="0"/>
        <w:ind w:start="709" w:hanging="283"/>
        <w:jc w:val="start"/>
        <w:rPr/>
      </w:pPr>
      <w:r>
        <w:rPr/>
        <w:t xml:space="preserve">Repatriation pharmaceutical benefit scheme </w:t>
      </w:r>
    </w:p>
    <w:p>
      <w:pPr>
        <w:pStyle w:val="TextBody"/>
        <w:numPr>
          <w:ilvl w:val="0"/>
          <w:numId w:val="4"/>
        </w:numPr>
        <w:tabs>
          <w:tab w:val="clear" w:pos="1134"/>
          <w:tab w:val="left" w:pos="709" w:leader="none"/>
        </w:tabs>
        <w:bidi w:val="0"/>
        <w:ind w:start="709" w:hanging="283"/>
        <w:jc w:val="start"/>
        <w:rPr/>
      </w:pPr>
      <w:r>
        <w:rPr/>
        <w:t xml:space="preserve">Minimum pricing policy through exchangeable bioequivalent </w:t>
      </w:r>
    </w:p>
    <w:p>
      <w:pPr>
        <w:pStyle w:val="TextBody"/>
        <w:bidi w:val="0"/>
        <w:jc w:val="start"/>
        <w:rPr/>
      </w:pPr>
      <w:r>
        <w:rPr/>
        <w:t xml:space="preserve">Introduction Cont. </w:t>
      </w:r>
    </w:p>
    <w:p>
      <w:pPr>
        <w:pStyle w:val="TextBody"/>
        <w:numPr>
          <w:ilvl w:val="0"/>
          <w:numId w:val="5"/>
        </w:numPr>
        <w:tabs>
          <w:tab w:val="clear" w:pos="1134"/>
          <w:tab w:val="left" w:pos="709" w:leader="none"/>
        </w:tabs>
        <w:bidi w:val="0"/>
        <w:ind w:start="709" w:hanging="283"/>
        <w:jc w:val="start"/>
        <w:rPr/>
      </w:pPr>
      <w:r>
        <w:rPr/>
        <w:t xml:space="preserve">Reason For generic product introduction </w:t>
      </w:r>
    </w:p>
    <w:p>
      <w:pPr>
        <w:pStyle w:val="TextBody"/>
        <w:numPr>
          <w:ilvl w:val="0"/>
          <w:numId w:val="6"/>
        </w:numPr>
        <w:tabs>
          <w:tab w:val="clear" w:pos="1134"/>
          <w:tab w:val="left" w:pos="709" w:leader="none"/>
        </w:tabs>
        <w:bidi w:val="0"/>
        <w:spacing w:before="0" w:after="0"/>
        <w:ind w:start="709" w:hanging="283"/>
        <w:jc w:val="start"/>
        <w:rPr/>
      </w:pPr>
      <w:r>
        <w:rPr/>
        <w:t xml:space="preserve">Patient’s easy access </w:t>
      </w:r>
    </w:p>
    <w:p>
      <w:pPr>
        <w:pStyle w:val="TextBody"/>
        <w:numPr>
          <w:ilvl w:val="0"/>
          <w:numId w:val="6"/>
        </w:numPr>
        <w:tabs>
          <w:tab w:val="clear" w:pos="1134"/>
          <w:tab w:val="left" w:pos="709" w:leader="none"/>
        </w:tabs>
        <w:bidi w:val="0"/>
        <w:spacing w:before="0" w:after="0"/>
        <w:ind w:start="709" w:hanging="283"/>
        <w:jc w:val="start"/>
        <w:rPr/>
      </w:pPr>
      <w:r>
        <w:rPr/>
        <w:t xml:space="preserve">Affordability </w:t>
      </w:r>
    </w:p>
    <w:p>
      <w:pPr>
        <w:pStyle w:val="TextBody"/>
        <w:numPr>
          <w:ilvl w:val="0"/>
          <w:numId w:val="6"/>
        </w:numPr>
        <w:tabs>
          <w:tab w:val="clear" w:pos="1134"/>
          <w:tab w:val="left" w:pos="709" w:leader="none"/>
        </w:tabs>
        <w:bidi w:val="0"/>
        <w:spacing w:before="0" w:after="0"/>
        <w:ind w:start="709" w:hanging="283"/>
        <w:jc w:val="start"/>
        <w:rPr/>
      </w:pPr>
      <w:r>
        <w:rPr/>
        <w:t xml:space="preserve">Aim of cost reduction </w:t>
      </w:r>
    </w:p>
    <w:p>
      <w:pPr>
        <w:pStyle w:val="TextBody"/>
        <w:numPr>
          <w:ilvl w:val="0"/>
          <w:numId w:val="6"/>
        </w:numPr>
        <w:tabs>
          <w:tab w:val="clear" w:pos="1134"/>
          <w:tab w:val="left" w:pos="709" w:leader="none"/>
        </w:tabs>
        <w:bidi w:val="0"/>
        <w:ind w:start="709" w:hanging="283"/>
        <w:jc w:val="start"/>
        <w:rPr/>
      </w:pPr>
      <w:r>
        <w:rPr/>
        <w:t xml:space="preserve">Increased need to save human lives </w:t>
      </w:r>
    </w:p>
    <w:p>
      <w:pPr>
        <w:pStyle w:val="TextBody"/>
        <w:bidi w:val="0"/>
        <w:jc w:val="start"/>
        <w:rPr/>
      </w:pPr>
      <w:r>
        <w:rPr/>
        <w:t xml:space="preserve">Introduction Cont. C. Channel of Supply of generic medical Products </w:t>
      </w:r>
    </w:p>
    <w:p>
      <w:pPr>
        <w:pStyle w:val="TextBody"/>
        <w:numPr>
          <w:ilvl w:val="0"/>
          <w:numId w:val="7"/>
        </w:numPr>
        <w:tabs>
          <w:tab w:val="clear" w:pos="1134"/>
          <w:tab w:val="left" w:pos="709" w:leader="none"/>
        </w:tabs>
        <w:bidi w:val="0"/>
        <w:spacing w:before="0" w:after="0"/>
        <w:ind w:start="709" w:hanging="283"/>
        <w:jc w:val="start"/>
        <w:rPr/>
      </w:pPr>
      <w:r>
        <w:rPr/>
        <w:t xml:space="preserve">Pharmaceutical companies </w:t>
      </w:r>
    </w:p>
    <w:p>
      <w:pPr>
        <w:pStyle w:val="TextBody"/>
        <w:numPr>
          <w:ilvl w:val="0"/>
          <w:numId w:val="7"/>
        </w:numPr>
        <w:tabs>
          <w:tab w:val="clear" w:pos="1134"/>
          <w:tab w:val="left" w:pos="709" w:leader="none"/>
        </w:tabs>
        <w:bidi w:val="0"/>
        <w:ind w:start="709" w:hanging="283"/>
        <w:jc w:val="start"/>
        <w:rPr/>
      </w:pPr>
      <w:r>
        <w:rPr/>
        <w:t xml:space="preserve">Retail Pharmacies </w:t>
      </w:r>
    </w:p>
    <w:p>
      <w:pPr>
        <w:pStyle w:val="TextBody"/>
        <w:bidi w:val="0"/>
        <w:jc w:val="start"/>
        <w:rPr/>
      </w:pPr>
      <w:r>
        <w:rPr/>
        <w:t xml:space="preserve">Aims and Objectives </w:t>
      </w:r>
    </w:p>
    <w:p>
      <w:pPr>
        <w:pStyle w:val="TextBody"/>
        <w:bidi w:val="0"/>
        <w:spacing w:before="0" w:after="283"/>
        <w:jc w:val="start"/>
        <w:rPr/>
      </w:pPr>
      <w:r>
        <w:rPr/>
        <w:t xml:space="preserve">To investigate , evaluate or assess: </w:t>
      </w:r>
    </w:p>
    <w:p>
      <w:pPr>
        <w:pStyle w:val="TextBody"/>
        <w:numPr>
          <w:ilvl w:val="0"/>
          <w:numId w:val="8"/>
        </w:numPr>
        <w:tabs>
          <w:tab w:val="clear" w:pos="1134"/>
          <w:tab w:val="left" w:pos="709" w:leader="none"/>
        </w:tabs>
        <w:bidi w:val="0"/>
        <w:spacing w:before="0" w:after="0"/>
        <w:ind w:start="709" w:hanging="283"/>
        <w:jc w:val="start"/>
        <w:rPr/>
      </w:pPr>
      <w:r>
        <w:rPr/>
        <w:t xml:space="preserve">the patient’s perception and understanding for antiepileptic drugs (AEDs) substitutions on community pharmacy practice </w:t>
      </w:r>
    </w:p>
    <w:p>
      <w:pPr>
        <w:pStyle w:val="TextBody"/>
        <w:numPr>
          <w:ilvl w:val="0"/>
          <w:numId w:val="8"/>
        </w:numPr>
        <w:tabs>
          <w:tab w:val="clear" w:pos="1134"/>
          <w:tab w:val="left" w:pos="709" w:leader="none"/>
        </w:tabs>
        <w:bidi w:val="0"/>
        <w:ind w:start="709" w:hanging="283"/>
        <w:jc w:val="start"/>
        <w:rPr/>
      </w:pPr>
      <w:r>
        <w:rPr/>
        <w:t xml:space="preserve">the duration and intensity association of AEDs on controlling seizures outbreak. </w:t>
      </w:r>
    </w:p>
    <w:p>
      <w:pPr>
        <w:pStyle w:val="TextBody"/>
        <w:bidi w:val="0"/>
        <w:jc w:val="start"/>
        <w:rPr/>
      </w:pPr>
      <w:r>
        <w:rPr/>
        <w:t xml:space="preserve">Objectives Cont. </w:t>
      </w:r>
    </w:p>
    <w:p>
      <w:pPr>
        <w:pStyle w:val="TextBody"/>
        <w:numPr>
          <w:ilvl w:val="0"/>
          <w:numId w:val="9"/>
        </w:numPr>
        <w:tabs>
          <w:tab w:val="clear" w:pos="1134"/>
          <w:tab w:val="left" w:pos="709" w:leader="none"/>
        </w:tabs>
        <w:bidi w:val="0"/>
        <w:spacing w:before="0" w:after="0"/>
        <w:ind w:start="709" w:hanging="283"/>
        <w:jc w:val="start"/>
        <w:rPr/>
      </w:pPr>
      <w:r>
        <w:rPr/>
        <w:t xml:space="preserve">the association of low usage of generic products with reduction in patient perception and understanding of the products </w:t>
      </w:r>
    </w:p>
    <w:p>
      <w:pPr>
        <w:pStyle w:val="TextBody"/>
        <w:numPr>
          <w:ilvl w:val="0"/>
          <w:numId w:val="9"/>
        </w:numPr>
        <w:tabs>
          <w:tab w:val="clear" w:pos="1134"/>
          <w:tab w:val="left" w:pos="709" w:leader="none"/>
        </w:tabs>
        <w:bidi w:val="0"/>
        <w:spacing w:before="0" w:after="0"/>
        <w:ind w:start="709" w:hanging="283"/>
        <w:jc w:val="start"/>
        <w:rPr/>
      </w:pPr>
      <w:r>
        <w:rPr/>
        <w:t xml:space="preserve">the availability of necessary predictors for prevention of adverse outcome associated with modifiable AEDs generic substitutions </w:t>
      </w:r>
    </w:p>
    <w:p>
      <w:pPr>
        <w:pStyle w:val="TextBody"/>
        <w:numPr>
          <w:ilvl w:val="0"/>
          <w:numId w:val="9"/>
        </w:numPr>
        <w:tabs>
          <w:tab w:val="clear" w:pos="1134"/>
          <w:tab w:val="left" w:pos="709" w:leader="none"/>
        </w:tabs>
        <w:bidi w:val="0"/>
        <w:ind w:start="709" w:hanging="283"/>
        <w:jc w:val="start"/>
        <w:rPr/>
      </w:pPr>
      <w:r>
        <w:rPr/>
        <w:t xml:space="preserve">To construct useful models tailored along the necessary suggestions </w:t>
      </w:r>
    </w:p>
    <w:p>
      <w:pPr>
        <w:pStyle w:val="TextBody"/>
        <w:bidi w:val="0"/>
        <w:jc w:val="start"/>
        <w:rPr/>
      </w:pPr>
      <w:r>
        <w:rPr/>
        <w:t xml:space="preserve">Literature Review </w:t>
      </w:r>
    </w:p>
    <w:p>
      <w:pPr>
        <w:pStyle w:val="TextBody"/>
        <w:bidi w:val="0"/>
        <w:spacing w:before="0" w:after="283"/>
        <w:jc w:val="start"/>
        <w:rPr/>
      </w:pPr>
      <w:r>
        <w:rPr/>
        <w:t xml:space="preserve">Concerns for Human Health </w:t>
      </w:r>
    </w:p>
    <w:p>
      <w:pPr>
        <w:pStyle w:val="TextBody"/>
        <w:numPr>
          <w:ilvl w:val="0"/>
          <w:numId w:val="10"/>
        </w:numPr>
        <w:tabs>
          <w:tab w:val="clear" w:pos="1134"/>
          <w:tab w:val="left" w:pos="709" w:leader="none"/>
        </w:tabs>
        <w:bidi w:val="0"/>
        <w:spacing w:before="0" w:after="0"/>
        <w:ind w:start="709" w:hanging="283"/>
        <w:jc w:val="start"/>
        <w:rPr/>
      </w:pPr>
      <w:r>
        <w:rPr/>
        <w:t xml:space="preserve">Acts as wealth resource </w:t>
      </w:r>
    </w:p>
    <w:p>
      <w:pPr>
        <w:pStyle w:val="TextBody"/>
        <w:numPr>
          <w:ilvl w:val="0"/>
          <w:numId w:val="10"/>
        </w:numPr>
        <w:tabs>
          <w:tab w:val="clear" w:pos="1134"/>
          <w:tab w:val="left" w:pos="709" w:leader="none"/>
        </w:tabs>
        <w:bidi w:val="0"/>
        <w:spacing w:before="0" w:after="0"/>
        <w:ind w:start="709" w:hanging="283"/>
        <w:jc w:val="start"/>
        <w:rPr/>
      </w:pPr>
      <w:r>
        <w:rPr/>
        <w:t xml:space="preserve">Among government’s major projects </w:t>
      </w:r>
    </w:p>
    <w:p>
      <w:pPr>
        <w:pStyle w:val="TextBody"/>
        <w:numPr>
          <w:ilvl w:val="0"/>
          <w:numId w:val="10"/>
        </w:numPr>
        <w:tabs>
          <w:tab w:val="clear" w:pos="1134"/>
          <w:tab w:val="left" w:pos="709" w:leader="none"/>
        </w:tabs>
        <w:bidi w:val="0"/>
        <w:spacing w:before="0" w:after="0"/>
        <w:ind w:start="709" w:hanging="283"/>
        <w:jc w:val="start"/>
        <w:rPr/>
      </w:pPr>
      <w:r>
        <w:rPr/>
        <w:t xml:space="preserve">regulations and guidance borne by government officials </w:t>
      </w:r>
    </w:p>
    <w:p>
      <w:pPr>
        <w:pStyle w:val="TextBody"/>
        <w:numPr>
          <w:ilvl w:val="0"/>
          <w:numId w:val="10"/>
        </w:numPr>
        <w:tabs>
          <w:tab w:val="clear" w:pos="1134"/>
          <w:tab w:val="left" w:pos="709" w:leader="none"/>
        </w:tabs>
        <w:bidi w:val="0"/>
        <w:ind w:start="709" w:hanging="283"/>
        <w:jc w:val="start"/>
        <w:rPr/>
      </w:pPr>
      <w:r>
        <w:rPr/>
        <w:t xml:space="preserve">Restricted control from medical experts </w:t>
      </w:r>
    </w:p>
    <w:p>
      <w:pPr>
        <w:pStyle w:val="TextBody"/>
        <w:bidi w:val="0"/>
        <w:jc w:val="start"/>
        <w:rPr/>
      </w:pPr>
      <w:r>
        <w:rPr/>
        <w:t xml:space="preserve">Lit Cont. </w:t>
      </w:r>
    </w:p>
    <w:p>
      <w:pPr>
        <w:pStyle w:val="TextBody"/>
        <w:bidi w:val="0"/>
        <w:spacing w:before="0" w:after="283"/>
        <w:jc w:val="start"/>
        <w:rPr/>
      </w:pPr>
      <w:r>
        <w:rPr/>
        <w:t xml:space="preserve">Available Human Health Improvement Strategies </w:t>
      </w:r>
    </w:p>
    <w:p>
      <w:pPr>
        <w:pStyle w:val="TextBody"/>
        <w:numPr>
          <w:ilvl w:val="0"/>
          <w:numId w:val="11"/>
        </w:numPr>
        <w:tabs>
          <w:tab w:val="clear" w:pos="1134"/>
          <w:tab w:val="left" w:pos="709" w:leader="none"/>
        </w:tabs>
        <w:bidi w:val="0"/>
        <w:ind w:start="709" w:hanging="283"/>
        <w:jc w:val="start"/>
        <w:rPr/>
      </w:pPr>
      <w:r>
        <w:rPr/>
        <w:t xml:space="preserve">Policy Formulations (ANMP ) </w:t>
      </w:r>
    </w:p>
    <w:p>
      <w:pPr>
        <w:pStyle w:val="TextBody"/>
        <w:bidi w:val="0"/>
        <w:jc w:val="start"/>
        <w:rPr/>
      </w:pPr>
      <w:r>
        <w:rPr/>
        <w:t xml:space="preserve">addresses issues of speedy medical product access, affordability, quality through independent objectives </w:t>
      </w:r>
    </w:p>
    <w:p>
      <w:pPr>
        <w:pStyle w:val="TextBody"/>
        <w:bidi w:val="0"/>
        <w:spacing w:before="0" w:after="283"/>
        <w:jc w:val="start"/>
        <w:rPr/>
      </w:pPr>
      <w:r>
        <w:rPr/>
        <w:t xml:space="preserve">-Barriers on controversial aims relating to quality </w:t>
      </w:r>
    </w:p>
    <w:p>
      <w:pPr>
        <w:pStyle w:val="TextBody"/>
        <w:numPr>
          <w:ilvl w:val="0"/>
          <w:numId w:val="12"/>
        </w:numPr>
        <w:tabs>
          <w:tab w:val="clear" w:pos="1134"/>
          <w:tab w:val="left" w:pos="709" w:leader="none"/>
        </w:tabs>
        <w:bidi w:val="0"/>
        <w:ind w:start="709" w:hanging="283"/>
        <w:jc w:val="start"/>
        <w:rPr/>
      </w:pPr>
      <w:r>
        <w:rPr/>
        <w:t xml:space="preserve">Co-payment </w:t>
      </w:r>
    </w:p>
    <w:p>
      <w:pPr>
        <w:pStyle w:val="TextBody"/>
        <w:bidi w:val="0"/>
        <w:jc w:val="start"/>
        <w:rPr/>
      </w:pPr>
      <w:r>
        <w:rPr/>
        <w:t xml:space="preserve">Key to augmented medical access, &amp; persistence to medicine/treatment </w:t>
      </w:r>
    </w:p>
    <w:p>
      <w:pPr>
        <w:pStyle w:val="TextBody"/>
        <w:bidi w:val="0"/>
        <w:spacing w:before="0" w:after="283"/>
        <w:jc w:val="start"/>
        <w:rPr/>
      </w:pPr>
      <w:r>
        <w:rPr/>
        <w:t xml:space="preserve">Main disadvantage of diverted moral concepts on consumption rate, increased expenditure </w:t>
      </w:r>
    </w:p>
    <w:p>
      <w:pPr>
        <w:pStyle w:val="TextBody"/>
        <w:bidi w:val="0"/>
        <w:spacing w:before="0" w:after="283"/>
        <w:jc w:val="start"/>
        <w:rPr/>
      </w:pPr>
      <w:r>
        <w:rPr/>
        <w:t xml:space="preserve">Misuses and overdoses common problemsLit cont. 3. Generic Product Utilization </w:t>
      </w:r>
    </w:p>
    <w:p>
      <w:pPr>
        <w:pStyle w:val="TextBody"/>
        <w:numPr>
          <w:ilvl w:val="0"/>
          <w:numId w:val="13"/>
        </w:numPr>
        <w:tabs>
          <w:tab w:val="clear" w:pos="1134"/>
          <w:tab w:val="left" w:pos="709" w:leader="none"/>
        </w:tabs>
        <w:bidi w:val="0"/>
        <w:spacing w:before="0" w:after="0"/>
        <w:ind w:start="709" w:hanging="283"/>
        <w:jc w:val="start"/>
        <w:rPr/>
      </w:pPr>
      <w:r>
        <w:rPr/>
        <w:t xml:space="preserve">A standard based method and price sensitive </w:t>
      </w:r>
    </w:p>
    <w:p>
      <w:pPr>
        <w:pStyle w:val="TextBody"/>
        <w:numPr>
          <w:ilvl w:val="0"/>
          <w:numId w:val="13"/>
        </w:numPr>
        <w:tabs>
          <w:tab w:val="clear" w:pos="1134"/>
          <w:tab w:val="left" w:pos="709" w:leader="none"/>
        </w:tabs>
        <w:bidi w:val="0"/>
        <w:spacing w:before="0" w:after="0"/>
        <w:ind w:start="709" w:hanging="283"/>
        <w:jc w:val="start"/>
        <w:rPr/>
      </w:pPr>
      <w:r>
        <w:rPr/>
        <w:t xml:space="preserve">Established in 1994 and increased from 17% to 47% consumption rate </w:t>
      </w:r>
    </w:p>
    <w:p>
      <w:pPr>
        <w:pStyle w:val="TextBody"/>
        <w:numPr>
          <w:ilvl w:val="0"/>
          <w:numId w:val="13"/>
        </w:numPr>
        <w:tabs>
          <w:tab w:val="clear" w:pos="1134"/>
          <w:tab w:val="left" w:pos="709" w:leader="none"/>
        </w:tabs>
        <w:bidi w:val="0"/>
        <w:ind w:start="709" w:hanging="283"/>
        <w:jc w:val="start"/>
        <w:rPr/>
      </w:pPr>
      <w:r>
        <w:rPr/>
        <w:t xml:space="preserve">Patent expiry, price and brand names fuels usage </w:t>
      </w:r>
    </w:p>
    <w:p>
      <w:pPr>
        <w:pStyle w:val="TextBody"/>
        <w:bidi w:val="0"/>
        <w:jc w:val="start"/>
        <w:rPr/>
      </w:pPr>
      <w:r>
        <w:rPr/>
        <w:t xml:space="preserve">Impacts of generic on quality </w:t>
      </w:r>
    </w:p>
    <w:p>
      <w:pPr>
        <w:pStyle w:val="TextBody"/>
        <w:numPr>
          <w:ilvl w:val="0"/>
          <w:numId w:val="14"/>
        </w:numPr>
        <w:tabs>
          <w:tab w:val="clear" w:pos="1134"/>
          <w:tab w:val="left" w:pos="709" w:leader="none"/>
        </w:tabs>
        <w:bidi w:val="0"/>
        <w:spacing w:before="0" w:after="0"/>
        <w:ind w:start="709" w:hanging="283"/>
        <w:jc w:val="start"/>
        <w:rPr/>
      </w:pPr>
      <w:r>
        <w:rPr/>
        <w:t xml:space="preserve">Generic affects quality of medicines on both sides </w:t>
      </w:r>
    </w:p>
    <w:p>
      <w:pPr>
        <w:pStyle w:val="TextBody"/>
        <w:numPr>
          <w:ilvl w:val="0"/>
          <w:numId w:val="14"/>
        </w:numPr>
        <w:tabs>
          <w:tab w:val="clear" w:pos="1134"/>
          <w:tab w:val="left" w:pos="709" w:leader="none"/>
        </w:tabs>
        <w:bidi w:val="0"/>
        <w:spacing w:before="0" w:after="0"/>
        <w:ind w:start="709" w:hanging="283"/>
        <w:jc w:val="start"/>
        <w:rPr/>
      </w:pPr>
      <w:r>
        <w:rPr/>
        <w:t xml:space="preserve">Confusion on management , supply and policy formulations </w:t>
      </w:r>
    </w:p>
    <w:p>
      <w:pPr>
        <w:pStyle w:val="TextBody"/>
        <w:numPr>
          <w:ilvl w:val="0"/>
          <w:numId w:val="14"/>
        </w:numPr>
        <w:tabs>
          <w:tab w:val="clear" w:pos="1134"/>
          <w:tab w:val="left" w:pos="709" w:leader="none"/>
        </w:tabs>
        <w:bidi w:val="0"/>
        <w:spacing w:before="0" w:after="0"/>
        <w:ind w:start="709" w:hanging="283"/>
        <w:jc w:val="start"/>
        <w:rPr/>
      </w:pPr>
      <w:r>
        <w:rPr/>
        <w:t xml:space="preserve">Undermine physicians and healthcare provider’s professions </w:t>
      </w:r>
    </w:p>
    <w:p>
      <w:pPr>
        <w:pStyle w:val="TextBody"/>
        <w:numPr>
          <w:ilvl w:val="0"/>
          <w:numId w:val="14"/>
        </w:numPr>
        <w:tabs>
          <w:tab w:val="clear" w:pos="1134"/>
          <w:tab w:val="left" w:pos="709" w:leader="none"/>
        </w:tabs>
        <w:bidi w:val="0"/>
        <w:spacing w:before="0" w:after="0"/>
        <w:ind w:start="709" w:hanging="283"/>
        <w:jc w:val="start"/>
        <w:rPr/>
      </w:pPr>
      <w:r>
        <w:rPr/>
        <w:t xml:space="preserve">Wide variations within the generic family of products </w:t>
      </w:r>
    </w:p>
    <w:p>
      <w:pPr>
        <w:pStyle w:val="TextBody"/>
        <w:numPr>
          <w:ilvl w:val="0"/>
          <w:numId w:val="14"/>
        </w:numPr>
        <w:tabs>
          <w:tab w:val="clear" w:pos="1134"/>
          <w:tab w:val="left" w:pos="709" w:leader="none"/>
        </w:tabs>
        <w:bidi w:val="0"/>
        <w:spacing w:before="0" w:after="0"/>
        <w:ind w:start="709" w:hanging="283"/>
        <w:jc w:val="start"/>
        <w:rPr/>
      </w:pPr>
      <w:r>
        <w:rPr/>
        <w:t xml:space="preserve">Observational design (Time series, cohort design) </w:t>
      </w:r>
    </w:p>
    <w:p>
      <w:pPr>
        <w:pStyle w:val="TextBody"/>
        <w:numPr>
          <w:ilvl w:val="0"/>
          <w:numId w:val="14"/>
        </w:numPr>
        <w:tabs>
          <w:tab w:val="clear" w:pos="1134"/>
          <w:tab w:val="left" w:pos="709" w:leader="none"/>
        </w:tabs>
        <w:bidi w:val="0"/>
        <w:spacing w:before="0" w:after="0"/>
        <w:ind w:start="709" w:hanging="283"/>
        <w:jc w:val="start"/>
        <w:rPr/>
      </w:pPr>
      <w:r>
        <w:rPr/>
        <w:t xml:space="preserve">Cohort-to determine effect of pricing policies </w:t>
      </w:r>
    </w:p>
    <w:p>
      <w:pPr>
        <w:pStyle w:val="TextBody"/>
        <w:numPr>
          <w:ilvl w:val="0"/>
          <w:numId w:val="14"/>
        </w:numPr>
        <w:tabs>
          <w:tab w:val="clear" w:pos="1134"/>
          <w:tab w:val="left" w:pos="709" w:leader="none"/>
        </w:tabs>
        <w:bidi w:val="0"/>
        <w:spacing w:before="0" w:after="0"/>
        <w:ind w:start="709" w:hanging="283"/>
        <w:jc w:val="start"/>
        <w:rPr/>
      </w:pPr>
      <w:r>
        <w:rPr/>
        <w:t xml:space="preserve">Time series-dispensation of products </w:t>
      </w:r>
    </w:p>
    <w:p>
      <w:pPr>
        <w:pStyle w:val="TextBody"/>
        <w:numPr>
          <w:ilvl w:val="0"/>
          <w:numId w:val="14"/>
        </w:numPr>
        <w:tabs>
          <w:tab w:val="clear" w:pos="1134"/>
          <w:tab w:val="left" w:pos="709" w:leader="none"/>
        </w:tabs>
        <w:bidi w:val="0"/>
        <w:spacing w:before="0" w:after="0"/>
        <w:ind w:start="709" w:hanging="283"/>
        <w:jc w:val="start"/>
        <w:rPr/>
      </w:pPr>
      <w:r>
        <w:rPr/>
        <w:t xml:space="preserve">analysis-descriptive for distribution curves and comparison </w:t>
      </w:r>
    </w:p>
    <w:p>
      <w:pPr>
        <w:pStyle w:val="TextBody"/>
        <w:numPr>
          <w:ilvl w:val="0"/>
          <w:numId w:val="14"/>
        </w:numPr>
        <w:tabs>
          <w:tab w:val="clear" w:pos="1134"/>
          <w:tab w:val="left" w:pos="709" w:leader="none"/>
        </w:tabs>
        <w:bidi w:val="0"/>
        <w:spacing w:before="0" w:after="0"/>
        <w:ind w:start="709" w:hanging="283"/>
        <w:jc w:val="start"/>
        <w:rPr/>
      </w:pPr>
      <w:r>
        <w:rPr/>
        <w:t xml:space="preserve">Multivariate (Propensity score)-regression model </w:t>
      </w:r>
    </w:p>
    <w:p>
      <w:pPr>
        <w:pStyle w:val="TextBody"/>
        <w:numPr>
          <w:ilvl w:val="0"/>
          <w:numId w:val="14"/>
        </w:numPr>
        <w:tabs>
          <w:tab w:val="clear" w:pos="1134"/>
          <w:tab w:val="left" w:pos="709" w:leader="none"/>
        </w:tabs>
        <w:bidi w:val="0"/>
        <w:ind w:start="709" w:hanging="283"/>
        <w:jc w:val="start"/>
        <w:rPr/>
      </w:pPr>
      <w:r>
        <w:rPr/>
        <w:t xml:space="preserve">General estimating equation-special case analysis </w:t>
      </w:r>
    </w:p>
    <w:p>
      <w:pPr>
        <w:pStyle w:val="TextBody"/>
        <w:bidi w:val="0"/>
        <w:jc w:val="start"/>
        <w:rPr/>
      </w:pPr>
      <w:r>
        <w:rPr/>
        <w:t xml:space="preserve">Design and methodologyVariablesIndependent Variables </w:t>
      </w:r>
    </w:p>
    <w:p>
      <w:pPr>
        <w:pStyle w:val="TextBody"/>
        <w:numPr>
          <w:ilvl w:val="0"/>
          <w:numId w:val="15"/>
        </w:numPr>
        <w:tabs>
          <w:tab w:val="clear" w:pos="1134"/>
          <w:tab w:val="left" w:pos="709" w:leader="none"/>
        </w:tabs>
        <w:bidi w:val="0"/>
        <w:spacing w:before="0" w:after="0"/>
        <w:ind w:start="709" w:hanging="283"/>
        <w:jc w:val="start"/>
        <w:rPr/>
      </w:pPr>
      <w:r>
        <w:rPr/>
        <w:t xml:space="preserve">Gender </w:t>
      </w:r>
    </w:p>
    <w:p>
      <w:pPr>
        <w:pStyle w:val="TextBody"/>
        <w:numPr>
          <w:ilvl w:val="0"/>
          <w:numId w:val="15"/>
        </w:numPr>
        <w:tabs>
          <w:tab w:val="clear" w:pos="1134"/>
          <w:tab w:val="left" w:pos="709" w:leader="none"/>
        </w:tabs>
        <w:bidi w:val="0"/>
        <w:spacing w:before="0" w:after="0"/>
        <w:ind w:start="709" w:hanging="283"/>
        <w:jc w:val="start"/>
        <w:rPr/>
      </w:pPr>
      <w:r>
        <w:rPr/>
        <w:t xml:space="preserve">Age </w:t>
      </w:r>
    </w:p>
    <w:p>
      <w:pPr>
        <w:pStyle w:val="TextBody"/>
        <w:numPr>
          <w:ilvl w:val="0"/>
          <w:numId w:val="15"/>
        </w:numPr>
        <w:tabs>
          <w:tab w:val="clear" w:pos="1134"/>
          <w:tab w:val="left" w:pos="709" w:leader="none"/>
        </w:tabs>
        <w:bidi w:val="0"/>
        <w:spacing w:before="0" w:after="0"/>
        <w:ind w:start="709" w:hanging="283"/>
        <w:jc w:val="start"/>
        <w:rPr/>
      </w:pPr>
      <w:r>
        <w:rPr/>
        <w:t xml:space="preserve">Education level </w:t>
      </w:r>
    </w:p>
    <w:p>
      <w:pPr>
        <w:pStyle w:val="TextBody"/>
        <w:numPr>
          <w:ilvl w:val="0"/>
          <w:numId w:val="15"/>
        </w:numPr>
        <w:tabs>
          <w:tab w:val="clear" w:pos="1134"/>
          <w:tab w:val="left" w:pos="709" w:leader="none"/>
        </w:tabs>
        <w:bidi w:val="0"/>
        <w:spacing w:before="0" w:after="0"/>
        <w:ind w:start="709" w:hanging="283"/>
        <w:jc w:val="start"/>
        <w:rPr/>
      </w:pPr>
      <w:r>
        <w:rPr/>
        <w:t xml:space="preserve">Income </w:t>
      </w:r>
    </w:p>
    <w:p>
      <w:pPr>
        <w:pStyle w:val="TextBody"/>
        <w:numPr>
          <w:ilvl w:val="0"/>
          <w:numId w:val="15"/>
        </w:numPr>
        <w:tabs>
          <w:tab w:val="clear" w:pos="1134"/>
          <w:tab w:val="left" w:pos="709" w:leader="none"/>
        </w:tabs>
        <w:bidi w:val="0"/>
        <w:ind w:start="709" w:hanging="283"/>
        <w:jc w:val="start"/>
        <w:rPr/>
      </w:pPr>
      <w:r>
        <w:rPr/>
        <w:t xml:space="preserve">Individual assessment about individual’s health condition </w:t>
      </w:r>
    </w:p>
    <w:p>
      <w:pPr>
        <w:pStyle w:val="TextBody"/>
        <w:bidi w:val="0"/>
        <w:jc w:val="start"/>
        <w:rPr/>
      </w:pPr>
      <w:r>
        <w:rPr/>
        <w:t xml:space="preserve">Analysis procedure of results </w:t>
      </w:r>
    </w:p>
    <w:p>
      <w:pPr>
        <w:pStyle w:val="TextBody"/>
        <w:numPr>
          <w:ilvl w:val="0"/>
          <w:numId w:val="16"/>
        </w:numPr>
        <w:tabs>
          <w:tab w:val="clear" w:pos="1134"/>
          <w:tab w:val="left" w:pos="709" w:leader="none"/>
        </w:tabs>
        <w:bidi w:val="0"/>
        <w:spacing w:before="0" w:after="0"/>
        <w:ind w:start="709" w:hanging="283"/>
        <w:jc w:val="start"/>
        <w:rPr/>
      </w:pPr>
      <w:r>
        <w:rPr/>
        <w:t xml:space="preserve">Descriptive statistic –data structure and basic features </w:t>
      </w:r>
    </w:p>
    <w:p>
      <w:pPr>
        <w:pStyle w:val="TextBody"/>
        <w:numPr>
          <w:ilvl w:val="0"/>
          <w:numId w:val="16"/>
        </w:numPr>
        <w:tabs>
          <w:tab w:val="clear" w:pos="1134"/>
          <w:tab w:val="left" w:pos="709" w:leader="none"/>
        </w:tabs>
        <w:bidi w:val="0"/>
        <w:spacing w:before="0" w:after="0"/>
        <w:ind w:start="709" w:hanging="283"/>
        <w:jc w:val="start"/>
        <w:rPr/>
      </w:pPr>
      <w:r>
        <w:rPr/>
        <w:t xml:space="preserve">Inferential statistics –answers to sample data. </w:t>
      </w:r>
    </w:p>
    <w:p>
      <w:pPr>
        <w:pStyle w:val="TextBody"/>
        <w:numPr>
          <w:ilvl w:val="0"/>
          <w:numId w:val="16"/>
        </w:numPr>
        <w:tabs>
          <w:tab w:val="clear" w:pos="1134"/>
          <w:tab w:val="left" w:pos="709" w:leader="none"/>
        </w:tabs>
        <w:bidi w:val="0"/>
        <w:ind w:start="709" w:hanging="283"/>
        <w:jc w:val="start"/>
        <w:rPr/>
      </w:pPr>
      <w:r>
        <w:rPr/>
        <w:t xml:space="preserve">Models of results developed </w:t>
      </w:r>
    </w:p>
    <w:p>
      <w:pPr>
        <w:pStyle w:val="TextBody"/>
        <w:bidi w:val="0"/>
        <w:jc w:val="start"/>
        <w:rPr/>
      </w:pPr>
      <w:r>
        <w:rPr/>
        <w:t xml:space="preserve">Ethical Consideration </w:t>
      </w:r>
    </w:p>
    <w:p>
      <w:pPr>
        <w:pStyle w:val="TextBody"/>
        <w:numPr>
          <w:ilvl w:val="0"/>
          <w:numId w:val="17"/>
        </w:numPr>
        <w:tabs>
          <w:tab w:val="clear" w:pos="1134"/>
          <w:tab w:val="left" w:pos="709" w:leader="none"/>
        </w:tabs>
        <w:bidi w:val="0"/>
        <w:ind w:start="709" w:hanging="283"/>
        <w:jc w:val="start"/>
        <w:rPr/>
      </w:pPr>
      <w:r>
        <w:rPr/>
        <w:t xml:space="preserve">Privacy and confidentiality </w:t>
      </w:r>
    </w:p>
    <w:p>
      <w:pPr>
        <w:pStyle w:val="TextBody"/>
        <w:bidi w:val="0"/>
        <w:jc w:val="start"/>
        <w:rPr/>
      </w:pPr>
      <w:r>
        <w:rPr/>
        <w:t xml:space="preserve">Less important for dataset of age, dates and gender </w:t>
      </w:r>
    </w:p>
    <w:p>
      <w:pPr>
        <w:pStyle w:val="TextBody"/>
        <w:numPr>
          <w:ilvl w:val="0"/>
          <w:numId w:val="18"/>
        </w:numPr>
        <w:tabs>
          <w:tab w:val="clear" w:pos="1134"/>
          <w:tab w:val="left" w:pos="709" w:leader="none"/>
        </w:tabs>
        <w:bidi w:val="0"/>
        <w:ind w:start="709" w:hanging="283"/>
        <w:jc w:val="start"/>
        <w:rPr/>
      </w:pPr>
      <w:r>
        <w:rPr/>
        <w:t xml:space="preserve">vulnerability of the population </w:t>
      </w:r>
    </w:p>
    <w:p>
      <w:pPr>
        <w:pStyle w:val="Heading2"/>
        <w:bidi w:val="0"/>
        <w:jc w:val="start"/>
        <w:rPr/>
      </w:pPr>
      <w:bookmarkStart w:id="5" w:name="conclusion"/>
      <w:bookmarkEnd w:id="5"/>
      <w:r>
        <w:rPr/>
        <w:t xml:space="preserve">Conclusion </w:t>
      </w:r>
    </w:p>
    <w:p>
      <w:pPr>
        <w:pStyle w:val="TextBody"/>
        <w:numPr>
          <w:ilvl w:val="0"/>
          <w:numId w:val="19"/>
        </w:numPr>
        <w:tabs>
          <w:tab w:val="clear" w:pos="1134"/>
          <w:tab w:val="left" w:pos="709" w:leader="none"/>
        </w:tabs>
        <w:bidi w:val="0"/>
        <w:spacing w:before="0" w:after="0"/>
        <w:ind w:start="709" w:hanging="283"/>
        <w:jc w:val="start"/>
        <w:rPr/>
      </w:pPr>
      <w:r>
        <w:rPr/>
        <w:t xml:space="preserve">Research Anticipated to Help in: </w:t>
      </w:r>
    </w:p>
    <w:p>
      <w:pPr>
        <w:pStyle w:val="TextBody"/>
        <w:numPr>
          <w:ilvl w:val="0"/>
          <w:numId w:val="19"/>
        </w:numPr>
        <w:tabs>
          <w:tab w:val="clear" w:pos="1134"/>
          <w:tab w:val="left" w:pos="709" w:leader="none"/>
        </w:tabs>
        <w:bidi w:val="0"/>
        <w:spacing w:before="0" w:after="0"/>
        <w:ind w:start="709" w:hanging="283"/>
        <w:jc w:val="start"/>
        <w:rPr/>
      </w:pPr>
      <w:r>
        <w:rPr/>
        <w:t xml:space="preserve">Policy adjustment on generic drugs </w:t>
      </w:r>
    </w:p>
    <w:p>
      <w:pPr>
        <w:pStyle w:val="TextBody"/>
        <w:numPr>
          <w:ilvl w:val="0"/>
          <w:numId w:val="19"/>
        </w:numPr>
        <w:tabs>
          <w:tab w:val="clear" w:pos="1134"/>
          <w:tab w:val="left" w:pos="709" w:leader="none"/>
        </w:tabs>
        <w:bidi w:val="0"/>
        <w:spacing w:before="0" w:after="0"/>
        <w:ind w:start="709" w:hanging="283"/>
        <w:jc w:val="start"/>
        <w:rPr/>
      </w:pPr>
      <w:r>
        <w:rPr/>
        <w:t xml:space="preserve">Creation of trust of the AEDs products regulatory by government </w:t>
      </w:r>
    </w:p>
    <w:p>
      <w:pPr>
        <w:pStyle w:val="TextBody"/>
        <w:numPr>
          <w:ilvl w:val="0"/>
          <w:numId w:val="19"/>
        </w:numPr>
        <w:tabs>
          <w:tab w:val="clear" w:pos="1134"/>
          <w:tab w:val="left" w:pos="709" w:leader="none"/>
        </w:tabs>
        <w:bidi w:val="0"/>
        <w:spacing w:before="0" w:after="0"/>
        <w:ind w:start="709" w:hanging="283"/>
        <w:jc w:val="start"/>
        <w:rPr/>
      </w:pPr>
      <w:r>
        <w:rPr/>
        <w:t xml:space="preserve">Lead to increased application use of medicine </w:t>
      </w:r>
    </w:p>
    <w:p>
      <w:pPr>
        <w:pStyle w:val="TextBody"/>
        <w:numPr>
          <w:ilvl w:val="0"/>
          <w:numId w:val="19"/>
        </w:numPr>
        <w:tabs>
          <w:tab w:val="clear" w:pos="1134"/>
          <w:tab w:val="left" w:pos="709" w:leader="none"/>
        </w:tabs>
        <w:bidi w:val="0"/>
        <w:ind w:start="709" w:hanging="283"/>
        <w:jc w:val="start"/>
        <w:rPr/>
      </w:pPr>
      <w:r>
        <w:rPr/>
        <w:t xml:space="preserve">Eliminate chances of misuses of personal property </w:t>
      </w:r>
    </w:p>
    <w:p>
      <w:pPr>
        <w:pStyle w:val="Heading2"/>
        <w:bidi w:val="0"/>
        <w:jc w:val="start"/>
        <w:rPr/>
      </w:pPr>
      <w:bookmarkStart w:id="6" w:name="ref-cont"/>
      <w:bookmarkEnd w:id="6"/>
      <w:r>
        <w:rPr/>
        <w:t xml:space="preserve">Ref. Cont. </w:t>
      </w:r>
    </w:p>
    <w:p>
      <w:pPr>
        <w:pStyle w:val="TextBody"/>
        <w:bidi w:val="0"/>
        <w:spacing w:before="0" w:after="283"/>
        <w:jc w:val="start"/>
        <w:rPr/>
      </w:pPr>
      <w:r>
        <w:rPr/>
        <w:t xml:space="preserve">3. Ortiz, M., L. A. Simons, and G. Calcino, </w:t>
      </w:r>
      <w:r>
        <w:rPr>
          <w:rStyle w:val="Emphasis"/>
        </w:rPr>
        <w:t xml:space="preserve">Generic substitution of commonly used medications: Australia-wide experience, 2007-2008. </w:t>
      </w:r>
      <w:r>
        <w:rPr/>
        <w:t xml:space="preserve">Med J Aust, 2010. 192(7): p. 370-3. </w:t>
      </w:r>
    </w:p>
    <w:p>
      <w:pPr>
        <w:pStyle w:val="TextBody"/>
        <w:bidi w:val="0"/>
        <w:spacing w:before="0" w:after="283"/>
        <w:jc w:val="start"/>
        <w:rPr/>
      </w:pPr>
      <w:r>
        <w:rPr/>
        <w:t xml:space="preserve">4. McLachlan, A. J., </w:t>
      </w:r>
      <w:r>
        <w:rPr>
          <w:rStyle w:val="Emphasis"/>
        </w:rPr>
        <w:t xml:space="preserve">Generic medicines literacy -minimising the potential for patient confusion. </w:t>
      </w:r>
      <w:r>
        <w:rPr/>
        <w:t xml:space="preserve">Med J Aust, 2010. 192(7): p. 368-9. </w:t>
      </w:r>
    </w:p>
    <w:p>
      <w:pPr>
        <w:pStyle w:val="TextBody"/>
        <w:numPr>
          <w:ilvl w:val="0"/>
          <w:numId w:val="20"/>
        </w:numPr>
        <w:tabs>
          <w:tab w:val="clear" w:pos="1134"/>
          <w:tab w:val="left" w:pos="709" w:leader="none"/>
        </w:tabs>
        <w:bidi w:val="0"/>
        <w:spacing w:before="0" w:after="283"/>
        <w:ind w:start="709" w:hanging="283"/>
        <w:jc w:val="start"/>
        <w:rPr/>
      </w:pPr>
      <w:r>
        <w:rPr/>
        <w:t xml:space="preserve">5. Hakonsen, H., et al., </w:t>
      </w:r>
      <w:r>
        <w:rPr>
          <w:rStyle w:val="Emphasis"/>
        </w:rPr>
        <w:t xml:space="preserve">Generic substitution: additional challenge for adherence in hypertensive patients? </w:t>
      </w:r>
      <w:r>
        <w:rPr/>
        <w:t xml:space="preserve">CurrMed Res Opin, 2009. 25(10): p. 2515-21.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https://assignbuster.com/research-proposal-on-the-current-australian-medical-policy/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the current austral...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the current australian medical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the current australian medical policy</dc:title>
  <dc:subject>Parts of the World;Australia</dc:subject>
  <dc:creator>AssignBuster</dc:creator>
  <cp:keywords/>
  <dc:description> The current Australian medical policy aimed to provide its citizens with cheaper healthcare services and products through the strategy of generic pro...</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