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3-ethyl-2,5-dimethylhexane c10h22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(Normal Alkane): </w:t>
      </w:r>
    </w:p>
    <w:tbl>
      <w:tblPr>
        <w:tblW w:w="3429" w:type="dxa"/>
        <w:jc w:val="start"/>
        <w:tblInd w:w="0" w:type="dxa"/>
        <w:tblLayout w:type="fixed"/>
        <w:tblCellMar>
          <w:top w:w="28" w:type="dxa"/>
          <w:start w:w="28" w:type="dxa"/>
          <w:bottom w:w="28" w:type="dxa"/>
          <w:end w:w="28" w:type="dxa"/>
        </w:tblCellMar>
      </w:tblPr>
      <w:tblGrid>
        <w:gridCol w:w="1647"/>
        <w:gridCol w:w="1782"/>
      </w:tblGrid>
      <w:tr>
        <w:trPr/>
        <w:tc>
          <w:tcPr>
            <w:tcW w:w="1647" w:type="dxa"/>
            <w:tcBorders/>
            <w:vAlign w:val="center"/>
          </w:tcPr>
          <w:p>
            <w:pPr>
              <w:pStyle w:val="TableContents"/>
              <w:bidi w:val="0"/>
              <w:spacing w:before="0" w:after="283"/>
              <w:jc w:val="start"/>
              <w:rPr/>
            </w:pPr>
            <w:r>
              <w:rPr/>
              <w:t xml:space="preserve">Molecular Formula </w:t>
            </w:r>
          </w:p>
        </w:tc>
        <w:tc>
          <w:tcPr>
            <w:tcW w:w="1782" w:type="dxa"/>
            <w:tcBorders/>
            <w:vAlign w:val="center"/>
          </w:tcPr>
          <w:p>
            <w:pPr>
              <w:pStyle w:val="TableContents"/>
              <w:bidi w:val="0"/>
              <w:spacing w:before="0" w:after="283"/>
              <w:jc w:val="start"/>
              <w:rPr/>
            </w:pPr>
            <w:r>
              <w:rPr/>
              <w:t xml:space="preserve">C </w:t>
            </w:r>
            <w:r>
              <w:rPr>
                <w:position w:val="-2"/>
                <w:sz w:val="19"/>
              </w:rPr>
              <w:t xml:space="preserve">10 </w:t>
            </w:r>
            <w:r>
              <w:rPr/>
              <w:t xml:space="preserve">H </w:t>
            </w:r>
            <w:r>
              <w:rPr>
                <w:position w:val="-2"/>
                <w:sz w:val="19"/>
              </w:rPr>
              <w:t xml:space="preserve">22 </w:t>
            </w:r>
          </w:p>
        </w:tc>
      </w:tr>
      <w:tr>
        <w:trPr/>
        <w:tc>
          <w:tcPr>
            <w:tcW w:w="1647" w:type="dxa"/>
            <w:tcBorders/>
            <w:vAlign w:val="center"/>
          </w:tcPr>
          <w:p>
            <w:pPr>
              <w:pStyle w:val="TableContents"/>
              <w:bidi w:val="0"/>
              <w:spacing w:before="0" w:after="283"/>
              <w:jc w:val="start"/>
              <w:rPr/>
            </w:pPr>
            <w:r>
              <w:rPr/>
              <w:t xml:space="preserve">Average mass </w:t>
            </w:r>
          </w:p>
        </w:tc>
        <w:tc>
          <w:tcPr>
            <w:tcW w:w="1782" w:type="dxa"/>
            <w:tcBorders/>
            <w:vAlign w:val="center"/>
          </w:tcPr>
          <w:p>
            <w:pPr>
              <w:pStyle w:val="TableContents"/>
              <w:bidi w:val="0"/>
              <w:spacing w:before="0" w:after="283"/>
              <w:jc w:val="start"/>
              <w:rPr/>
            </w:pPr>
            <w:r>
              <w:rPr/>
              <w:t xml:space="preserve">142. 282 Da </w:t>
            </w:r>
          </w:p>
        </w:tc>
      </w:tr>
      <w:tr>
        <w:trPr/>
        <w:tc>
          <w:tcPr>
            <w:tcW w:w="1647" w:type="dxa"/>
            <w:tcBorders/>
            <w:vAlign w:val="center"/>
          </w:tcPr>
          <w:p>
            <w:pPr>
              <w:pStyle w:val="TableContents"/>
              <w:bidi w:val="0"/>
              <w:spacing w:before="0" w:after="283"/>
              <w:jc w:val="start"/>
              <w:rPr/>
            </w:pPr>
            <w:r>
              <w:rPr/>
              <w:t xml:space="preserve">Density </w:t>
            </w:r>
          </w:p>
        </w:tc>
        <w:tc>
          <w:tcPr>
            <w:tcW w:w="1782"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Boiling Point </w:t>
            </w:r>
          </w:p>
        </w:tc>
        <w:tc>
          <w:tcPr>
            <w:tcW w:w="1782" w:type="dxa"/>
            <w:tcBorders/>
            <w:vAlign w:val="center"/>
          </w:tcPr>
          <w:p>
            <w:pPr>
              <w:pStyle w:val="TableContents"/>
              <w:bidi w:val="0"/>
              <w:spacing w:before="0" w:after="283"/>
              <w:jc w:val="start"/>
              <w:rPr/>
            </w:pPr>
            <w:r>
              <w:rPr/>
              <w:t xml:space="preserve">153. 5±7. 0 °C at 760 mmHg </w:t>
            </w:r>
          </w:p>
        </w:tc>
      </w:tr>
      <w:tr>
        <w:trPr/>
        <w:tc>
          <w:tcPr>
            <w:tcW w:w="1647" w:type="dxa"/>
            <w:tcBorders/>
            <w:vAlign w:val="center"/>
          </w:tcPr>
          <w:p>
            <w:pPr>
              <w:pStyle w:val="TableContents"/>
              <w:bidi w:val="0"/>
              <w:spacing w:before="0" w:after="283"/>
              <w:jc w:val="start"/>
              <w:rPr/>
            </w:pPr>
            <w:r>
              <w:rPr/>
              <w:t xml:space="preserve">Flash Point </w:t>
            </w:r>
          </w:p>
        </w:tc>
        <w:tc>
          <w:tcPr>
            <w:tcW w:w="1782" w:type="dxa"/>
            <w:tcBorders/>
            <w:vAlign w:val="center"/>
          </w:tcPr>
          <w:p>
            <w:pPr>
              <w:pStyle w:val="TableContents"/>
              <w:bidi w:val="0"/>
              <w:spacing w:before="0" w:after="283"/>
              <w:jc w:val="start"/>
              <w:rPr/>
            </w:pPr>
            <w:r>
              <w:rPr/>
              <w:t xml:space="preserve">39. 5±11. 7 °C </w:t>
            </w:r>
          </w:p>
        </w:tc>
      </w:tr>
      <w:tr>
        <w:trPr/>
        <w:tc>
          <w:tcPr>
            <w:tcW w:w="1647" w:type="dxa"/>
            <w:tcBorders/>
            <w:vAlign w:val="center"/>
          </w:tcPr>
          <w:p>
            <w:pPr>
              <w:pStyle w:val="TableContents"/>
              <w:bidi w:val="0"/>
              <w:spacing w:before="0" w:after="283"/>
              <w:jc w:val="start"/>
              <w:rPr/>
            </w:pPr>
            <w:r>
              <w:rPr/>
              <w:t xml:space="preserve">Molar Refractivity </w:t>
            </w:r>
          </w:p>
        </w:tc>
        <w:tc>
          <w:tcPr>
            <w:tcW w:w="1782" w:type="dxa"/>
            <w:tcBorders/>
            <w:vAlign w:val="center"/>
          </w:tcPr>
          <w:p>
            <w:pPr>
              <w:pStyle w:val="TableContents"/>
              <w:bidi w:val="0"/>
              <w:spacing w:before="0" w:after="283"/>
              <w:jc w:val="start"/>
              <w:rPr/>
            </w:pPr>
            <w:r>
              <w:rPr/>
              <w:t xml:space="preserve">48. 3±0. 3 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Polarizability </w:t>
            </w:r>
          </w:p>
        </w:tc>
        <w:tc>
          <w:tcPr>
            <w:tcW w:w="1782" w:type="dxa"/>
            <w:tcBorders/>
            <w:vAlign w:val="center"/>
          </w:tcPr>
          <w:p>
            <w:pPr>
              <w:pStyle w:val="TableContents"/>
              <w:bidi w:val="0"/>
              <w:spacing w:before="0" w:after="283"/>
              <w:jc w:val="start"/>
              <w:rPr/>
            </w:pPr>
            <w:r>
              <w:rPr/>
              <w:t xml:space="preserve">19. 1±0. 5 10 </w:t>
            </w:r>
            <w:r>
              <w:rPr>
                <w:position w:val="8"/>
                <w:sz w:val="19"/>
              </w:rPr>
              <w:t xml:space="preserve">-24 </w:t>
            </w:r>
            <w:r>
              <w:rPr/>
              <w:t xml:space="preserve">cm </w:t>
            </w:r>
            <w:r>
              <w:rPr>
                <w:position w:val="8"/>
                <w:sz w:val="19"/>
              </w:rPr>
              <w:t xml:space="preserve">3 </w:t>
            </w:r>
          </w:p>
        </w:tc>
      </w:tr>
      <w:tr>
        <w:trPr/>
        <w:tc>
          <w:tcPr>
            <w:tcW w:w="1647" w:type="dxa"/>
            <w:tcBorders/>
            <w:vAlign w:val="center"/>
          </w:tcPr>
          <w:p>
            <w:pPr>
              <w:pStyle w:val="TableContents"/>
              <w:bidi w:val="0"/>
              <w:spacing w:before="0" w:after="283"/>
              <w:jc w:val="start"/>
              <w:rPr/>
            </w:pPr>
            <w:r>
              <w:rPr/>
              <w:t xml:space="preserve">Surface Tension </w:t>
            </w:r>
          </w:p>
        </w:tc>
        <w:tc>
          <w:tcPr>
            <w:tcW w:w="1782" w:type="dxa"/>
            <w:tcBorders/>
            <w:vAlign w:val="center"/>
          </w:tcPr>
          <w:p>
            <w:pPr>
              <w:pStyle w:val="TableContents"/>
              <w:bidi w:val="0"/>
              <w:spacing w:before="0" w:after="283"/>
              <w:jc w:val="start"/>
              <w:rPr/>
            </w:pPr>
            <w:r>
              <w:rPr/>
              <w:t xml:space="preserve">22. 1±3. 0 dyne/cm </w:t>
            </w:r>
          </w:p>
        </w:tc>
      </w:tr>
      <w:tr>
        <w:trPr/>
        <w:tc>
          <w:tcPr>
            <w:tcW w:w="1647" w:type="dxa"/>
            <w:tcBorders/>
            <w:vAlign w:val="center"/>
          </w:tcPr>
          <w:p>
            <w:pPr>
              <w:pStyle w:val="TableContents"/>
              <w:bidi w:val="0"/>
              <w:spacing w:before="0" w:after="283"/>
              <w:jc w:val="start"/>
              <w:rPr/>
            </w:pPr>
            <w:r>
              <w:rPr/>
              <w:t xml:space="preserve">Molar Volume </w:t>
            </w:r>
          </w:p>
        </w:tc>
        <w:tc>
          <w:tcPr>
            <w:tcW w:w="1782" w:type="dxa"/>
            <w:tcBorders/>
            <w:vAlign w:val="center"/>
          </w:tcPr>
          <w:p>
            <w:pPr>
              <w:pStyle w:val="TableContents"/>
              <w:bidi w:val="0"/>
              <w:spacing w:before="0" w:after="283"/>
              <w:jc w:val="start"/>
              <w:rPr/>
            </w:pPr>
            <w:r>
              <w:rPr/>
              <w:t xml:space="preserve">194. 7±3.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ind w:start="709" w:hanging="283"/>
        <w:jc w:val="start"/>
        <w:rPr/>
      </w:pPr>
      <w:r>
        <w:rPr/>
        <w:t xml:space="preserve">Predicted – ChemAxon </w:t>
      </w:r>
    </w:p>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2011" w:type="dxa"/>
        <w:jc w:val="start"/>
        <w:tblInd w:w="1418" w:type="dxa"/>
        <w:tblLayout w:type="fixed"/>
        <w:tblCellMar>
          <w:top w:w="28" w:type="dxa"/>
          <w:start w:w="28" w:type="dxa"/>
          <w:bottom w:w="28" w:type="dxa"/>
          <w:end w:w="28" w:type="dxa"/>
        </w:tblCellMar>
      </w:tblPr>
      <w:tblGrid>
        <w:gridCol w:w="2011"/>
      </w:tblGrid>
      <w:tr>
        <w:trPr/>
        <w:tc>
          <w:tcPr>
            <w:tcW w:w="2011" w:type="dxa"/>
            <w:tcBorders/>
            <w:vAlign w:val="center"/>
          </w:tcPr>
          <w:p>
            <w:pPr>
              <w:pStyle w:val="TableContents"/>
              <w:bidi w:val="0"/>
              <w:spacing w:before="0" w:after="283"/>
              <w:jc w:val="start"/>
              <w:rPr/>
            </w:pPr>
            <w:r>
              <w:rPr/>
              <w:t xml:space="preserve">823 (estimated with error: 39)NIST Spectramainlib_154912 </w:t>
            </w:r>
          </w:p>
        </w:tc>
      </w:tr>
      <w:tr>
        <w:trPr/>
        <w:tc>
          <w:tcPr>
            <w:tcW w:w="2011" w:type="dxa"/>
            <w:tcBorders/>
            <w:vAlign w:val="center"/>
          </w:tcPr>
          <w:p>
            <w:pPr>
              <w:pStyle w:val="TableContents"/>
              <w:bidi w:val="0"/>
              <w:spacing w:before="0" w:after="283"/>
              <w:jc w:val="start"/>
              <w:rPr/>
            </w:pPr>
            <w:r>
              <w:rPr/>
              <w:t xml:space="preserve">891 (Program type: Isothermal; Col… (show more)umn class: Semi-standard non-polar; Column diameter: 0. 25 mm; Column length: 300 ft; Column type: Capillary; Start T: 60 C; CAS no: 52897048; Active phase: Squalane; Carrier gas: N2; Data type: Kovats RI; Authors: Matukuma, A., Retention indices of alkanes through C10 and alkenes through C8 and relation between boiling points and retention data, Gas Chromatogr., Int. Symp. Anal. Instrum. Div Instrum Soc. Amer., 7, 1969, 55-75., Program type: Isothermal; Col… (show more)umn class: Semi-standard non-polar; Column type: Capillary; Start T: 100 C; CAS no: 52897048; Active phase: Squalane; Data type: Kovats RI; Authors: Heinzen, V. E. F.; Soares, M. F.; Yunes, R. A., Semi-empirical topological method for the prediction of the chromatographic retention of cis- and trans-alkene isomers and alkanes, J. Chromatogr. A, 849, 1999, 495-506.)NIST Spectranist ri </w:t>
            </w:r>
          </w:p>
        </w:tc>
      </w:tr>
      <w:tr>
        <w:trPr/>
        <w:tc>
          <w:tcPr>
            <w:tcW w:w="2011" w:type="dxa"/>
            <w:tcBorders/>
            <w:vAlign w:val="center"/>
          </w:tcPr>
          <w:p>
            <w:pPr>
              <w:pStyle w:val="TableContents"/>
              <w:bidi w:val="0"/>
              <w:spacing w:before="0" w:after="283"/>
              <w:jc w:val="start"/>
              <w:rPr/>
            </w:pPr>
            <w:r>
              <w:rPr/>
              <w:t xml:space="preserve">891. 4 (Program type: Isothermal; Col… (show more)umn class: Semi-standard non-polar; Column type: Capillary; Start T: 60 C; CAS no: 52897048; Active phase: Squalane; Data type: Kovats RI; Authors: Chretien, J. R.; Dubois, J.-E., New Perspectives in the Prediction of Kovats Indices, J. Chromatogr., 126, 1976, 171-189.)NIST Spectranist ri </w:t>
            </w:r>
          </w:p>
        </w:tc>
      </w:tr>
    </w:tbl>
    <w:p>
      <w:pPr>
        <w:pStyle w:val="Heading2"/>
        <w:numPr>
          <w:ilvl w:val="1"/>
          <w:numId w:val="3"/>
        </w:numPr>
        <w:tabs>
          <w:tab w:val="clear" w:pos="1134"/>
          <w:tab w:val="left" w:pos="1418" w:leader="none"/>
        </w:tabs>
        <w:bidi w:val="0"/>
        <w:ind w:start="1418" w:hanging="283"/>
        <w:jc w:val="start"/>
        <w:rPr/>
      </w:pPr>
      <w:r>
        <w:rPr/>
        <w:t xml:space="preserve">Retention Index (Normal Alkane): </w:t>
      </w:r>
    </w:p>
    <w:tbl>
      <w:tblPr>
        <w:tblW w:w="2011" w:type="dxa"/>
        <w:jc w:val="start"/>
        <w:tblInd w:w="1418" w:type="dxa"/>
        <w:tblLayout w:type="fixed"/>
        <w:tblCellMar>
          <w:top w:w="28" w:type="dxa"/>
          <w:start w:w="28" w:type="dxa"/>
          <w:bottom w:w="28" w:type="dxa"/>
          <w:end w:w="28" w:type="dxa"/>
        </w:tblCellMar>
      </w:tblPr>
      <w:tblGrid>
        <w:gridCol w:w="2011"/>
      </w:tblGrid>
      <w:tr>
        <w:trPr/>
        <w:tc>
          <w:tcPr>
            <w:tcW w:w="2011" w:type="dxa"/>
            <w:tcBorders/>
            <w:vAlign w:val="center"/>
          </w:tcPr>
          <w:p>
            <w:pPr>
              <w:pStyle w:val="TableContents"/>
              <w:bidi w:val="0"/>
              <w:spacing w:before="0" w:after="283"/>
              <w:jc w:val="start"/>
              <w:rPr/>
            </w:pPr>
            <w:r>
              <w:rPr/>
              <w:t xml:space="preserve">891 (Program type: Ramp; Column cl… (show more)ass: Standard non-polar; Column type: Capillary; CAS no: 52897048; Active phase: OV-101; Data type: Normal alkane RI; Authors: Du, Y.; Liang, Y., Data mining for seeking accurate quantitative relationship between molecular structure and GC retention indices of alkanes by projection pursuit, Comput. Biol. Chem., 27, 2003, 339-353., Program type: Ramp; Column cl… (show more)ass: Standard non-polar; Column type: Capillary; CAS no: 52897048; Active phase: Polydimethyl siloxane; Data type: Normal alkane RI; Authors: Junkes, B. S.; Castanho, R. D. M.; Amboni, C.; Yunes, R. A.; Heinzen, V. E. F., Semiempirical Topological Index: A Novel Molecular Descriptor for Quantitative Structure-Retention Relationship Studies, Internet Electronic Journal of Molecular Design, 2(1), 2003, 33-49.)NIST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1821"/>
        <w:gridCol w:w="1608"/>
      </w:tblGrid>
      <w:tr>
        <w:trPr/>
        <w:tc>
          <w:tcPr>
            <w:tcW w:w="1821" w:type="dxa"/>
            <w:tcBorders/>
            <w:vAlign w:val="center"/>
          </w:tcPr>
          <w:p>
            <w:pPr>
              <w:pStyle w:val="TableContents"/>
              <w:bidi w:val="0"/>
              <w:spacing w:before="0" w:after="283"/>
              <w:jc w:val="start"/>
              <w:rPr/>
            </w:pPr>
            <w:r>
              <w:rPr/>
              <w:t xml:space="preserve">Density: </w:t>
            </w:r>
          </w:p>
        </w:tc>
        <w:tc>
          <w:tcPr>
            <w:tcW w:w="1608"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821" w:type="dxa"/>
            <w:tcBorders/>
            <w:vAlign w:val="center"/>
          </w:tcPr>
          <w:p>
            <w:pPr>
              <w:pStyle w:val="TableContents"/>
              <w:bidi w:val="0"/>
              <w:spacing w:before="0" w:after="283"/>
              <w:jc w:val="start"/>
              <w:rPr/>
            </w:pPr>
            <w:r>
              <w:rPr/>
              <w:t xml:space="preserve">Boiling Point: </w:t>
            </w:r>
          </w:p>
        </w:tc>
        <w:tc>
          <w:tcPr>
            <w:tcW w:w="1608" w:type="dxa"/>
            <w:tcBorders/>
            <w:vAlign w:val="center"/>
          </w:tcPr>
          <w:p>
            <w:pPr>
              <w:pStyle w:val="TableContents"/>
              <w:bidi w:val="0"/>
              <w:spacing w:before="0" w:after="283"/>
              <w:jc w:val="start"/>
              <w:rPr/>
            </w:pPr>
            <w:r>
              <w:rPr/>
              <w:t xml:space="preserve">153. 5±7. 0 °C at 760 mmHg </w:t>
            </w:r>
          </w:p>
        </w:tc>
      </w:tr>
      <w:tr>
        <w:trPr/>
        <w:tc>
          <w:tcPr>
            <w:tcW w:w="1821" w:type="dxa"/>
            <w:tcBorders/>
            <w:vAlign w:val="center"/>
          </w:tcPr>
          <w:p>
            <w:pPr>
              <w:pStyle w:val="TableContents"/>
              <w:bidi w:val="0"/>
              <w:spacing w:before="0" w:after="283"/>
              <w:jc w:val="start"/>
              <w:rPr/>
            </w:pPr>
            <w:r>
              <w:rPr/>
              <w:t xml:space="preserve">Vapour Pressure: </w:t>
            </w:r>
          </w:p>
        </w:tc>
        <w:tc>
          <w:tcPr>
            <w:tcW w:w="1608" w:type="dxa"/>
            <w:tcBorders/>
            <w:vAlign w:val="center"/>
          </w:tcPr>
          <w:p>
            <w:pPr>
              <w:pStyle w:val="TableContents"/>
              <w:bidi w:val="0"/>
              <w:spacing w:before="0" w:after="283"/>
              <w:jc w:val="start"/>
              <w:rPr/>
            </w:pPr>
            <w:r>
              <w:rPr/>
              <w:t xml:space="preserve">4. 3±0. 1 mmHg at 25°C </w:t>
            </w:r>
          </w:p>
        </w:tc>
      </w:tr>
      <w:tr>
        <w:trPr/>
        <w:tc>
          <w:tcPr>
            <w:tcW w:w="1821" w:type="dxa"/>
            <w:tcBorders/>
            <w:vAlign w:val="center"/>
          </w:tcPr>
          <w:p>
            <w:pPr>
              <w:pStyle w:val="TableContents"/>
              <w:bidi w:val="0"/>
              <w:spacing w:before="0" w:after="283"/>
              <w:jc w:val="start"/>
              <w:rPr/>
            </w:pPr>
            <w:r>
              <w:rPr/>
              <w:t xml:space="preserve">Enthalpy of Vaporization: </w:t>
            </w:r>
          </w:p>
        </w:tc>
        <w:tc>
          <w:tcPr>
            <w:tcW w:w="1608" w:type="dxa"/>
            <w:tcBorders/>
            <w:vAlign w:val="center"/>
          </w:tcPr>
          <w:p>
            <w:pPr>
              <w:pStyle w:val="TableContents"/>
              <w:bidi w:val="0"/>
              <w:spacing w:before="0" w:after="283"/>
              <w:jc w:val="start"/>
              <w:rPr/>
            </w:pPr>
            <w:r>
              <w:rPr/>
              <w:t xml:space="preserve">37. 4±0. 8 kJ/mol </w:t>
            </w:r>
          </w:p>
        </w:tc>
      </w:tr>
      <w:tr>
        <w:trPr/>
        <w:tc>
          <w:tcPr>
            <w:tcW w:w="1821" w:type="dxa"/>
            <w:tcBorders/>
            <w:vAlign w:val="center"/>
          </w:tcPr>
          <w:p>
            <w:pPr>
              <w:pStyle w:val="TableContents"/>
              <w:bidi w:val="0"/>
              <w:spacing w:before="0" w:after="283"/>
              <w:jc w:val="start"/>
              <w:rPr/>
            </w:pPr>
            <w:r>
              <w:rPr/>
              <w:t xml:space="preserve">Flash Point: </w:t>
            </w:r>
          </w:p>
        </w:tc>
        <w:tc>
          <w:tcPr>
            <w:tcW w:w="1608" w:type="dxa"/>
            <w:tcBorders/>
            <w:vAlign w:val="center"/>
          </w:tcPr>
          <w:p>
            <w:pPr>
              <w:pStyle w:val="TableContents"/>
              <w:bidi w:val="0"/>
              <w:spacing w:before="0" w:after="283"/>
              <w:jc w:val="start"/>
              <w:rPr/>
            </w:pPr>
            <w:r>
              <w:rPr/>
              <w:t xml:space="preserve">39. 5±11. 7 °C </w:t>
            </w:r>
          </w:p>
        </w:tc>
      </w:tr>
      <w:tr>
        <w:trPr/>
        <w:tc>
          <w:tcPr>
            <w:tcW w:w="1821" w:type="dxa"/>
            <w:tcBorders/>
            <w:vAlign w:val="center"/>
          </w:tcPr>
          <w:p>
            <w:pPr>
              <w:pStyle w:val="TableContents"/>
              <w:bidi w:val="0"/>
              <w:spacing w:before="0" w:after="283"/>
              <w:jc w:val="start"/>
              <w:rPr/>
            </w:pPr>
            <w:r>
              <w:rPr/>
              <w:t xml:space="preserve">Index of Refraction: </w:t>
            </w:r>
          </w:p>
        </w:tc>
        <w:tc>
          <w:tcPr>
            <w:tcW w:w="1608" w:type="dxa"/>
            <w:tcBorders/>
            <w:vAlign w:val="center"/>
          </w:tcPr>
          <w:p>
            <w:pPr>
              <w:pStyle w:val="TableContents"/>
              <w:bidi w:val="0"/>
              <w:spacing w:before="0" w:after="283"/>
              <w:jc w:val="start"/>
              <w:rPr/>
            </w:pPr>
            <w:r>
              <w:rPr/>
              <w:t xml:space="preserve">1. 410 </w:t>
            </w:r>
          </w:p>
        </w:tc>
      </w:tr>
      <w:tr>
        <w:trPr/>
        <w:tc>
          <w:tcPr>
            <w:tcW w:w="1821" w:type="dxa"/>
            <w:tcBorders/>
            <w:vAlign w:val="center"/>
          </w:tcPr>
          <w:p>
            <w:pPr>
              <w:pStyle w:val="TableContents"/>
              <w:bidi w:val="0"/>
              <w:spacing w:before="0" w:after="283"/>
              <w:jc w:val="start"/>
              <w:rPr/>
            </w:pPr>
            <w:r>
              <w:rPr/>
              <w:t xml:space="preserve">Molar Refractivity: </w:t>
            </w:r>
          </w:p>
        </w:tc>
        <w:tc>
          <w:tcPr>
            <w:tcW w:w="1608" w:type="dxa"/>
            <w:tcBorders/>
            <w:vAlign w:val="center"/>
          </w:tcPr>
          <w:p>
            <w:pPr>
              <w:pStyle w:val="TableContents"/>
              <w:bidi w:val="0"/>
              <w:spacing w:before="0" w:after="283"/>
              <w:jc w:val="start"/>
              <w:rPr/>
            </w:pPr>
            <w:r>
              <w:rPr/>
              <w:t xml:space="preserve">48. 3±0. 3 cm </w:t>
            </w:r>
            <w:r>
              <w:rPr>
                <w:position w:val="8"/>
                <w:sz w:val="19"/>
              </w:rPr>
              <w:t xml:space="preserve">3 </w:t>
            </w:r>
          </w:p>
        </w:tc>
      </w:tr>
      <w:tr>
        <w:trPr/>
        <w:tc>
          <w:tcPr>
            <w:tcW w:w="1821" w:type="dxa"/>
            <w:tcBorders/>
            <w:vAlign w:val="center"/>
          </w:tcPr>
          <w:p>
            <w:pPr>
              <w:pStyle w:val="TableContents"/>
              <w:bidi w:val="0"/>
              <w:spacing w:before="0" w:after="283"/>
              <w:jc w:val="start"/>
              <w:rPr/>
            </w:pPr>
            <w:r>
              <w:rPr/>
              <w:t xml:space="preserve">#H bond acceptors: </w:t>
            </w:r>
          </w:p>
        </w:tc>
        <w:tc>
          <w:tcPr>
            <w:tcW w:w="1608" w:type="dxa"/>
            <w:tcBorders/>
            <w:vAlign w:val="center"/>
          </w:tcPr>
          <w:p>
            <w:pPr>
              <w:pStyle w:val="TableContents"/>
              <w:bidi w:val="0"/>
              <w:spacing w:before="0" w:after="283"/>
              <w:jc w:val="start"/>
              <w:rPr/>
            </w:pPr>
            <w:r>
              <w:rPr/>
              <w:t xml:space="preserve">0 </w:t>
            </w:r>
          </w:p>
        </w:tc>
      </w:tr>
      <w:tr>
        <w:trPr/>
        <w:tc>
          <w:tcPr>
            <w:tcW w:w="1821" w:type="dxa"/>
            <w:tcBorders/>
            <w:vAlign w:val="center"/>
          </w:tcPr>
          <w:p>
            <w:pPr>
              <w:pStyle w:val="TableContents"/>
              <w:bidi w:val="0"/>
              <w:spacing w:before="0" w:after="283"/>
              <w:jc w:val="start"/>
              <w:rPr/>
            </w:pPr>
            <w:r>
              <w:rPr/>
              <w:t xml:space="preserve">#H bond donors: </w:t>
            </w:r>
          </w:p>
        </w:tc>
        <w:tc>
          <w:tcPr>
            <w:tcW w:w="1608" w:type="dxa"/>
            <w:tcBorders/>
            <w:vAlign w:val="center"/>
          </w:tcPr>
          <w:p>
            <w:pPr>
              <w:pStyle w:val="TableContents"/>
              <w:bidi w:val="0"/>
              <w:spacing w:before="0" w:after="283"/>
              <w:jc w:val="start"/>
              <w:rPr/>
            </w:pPr>
            <w:r>
              <w:rPr/>
              <w:t xml:space="preserve">0 </w:t>
            </w:r>
          </w:p>
        </w:tc>
      </w:tr>
      <w:tr>
        <w:trPr/>
        <w:tc>
          <w:tcPr>
            <w:tcW w:w="1821" w:type="dxa"/>
            <w:tcBorders/>
            <w:vAlign w:val="center"/>
          </w:tcPr>
          <w:p>
            <w:pPr>
              <w:pStyle w:val="TableContents"/>
              <w:bidi w:val="0"/>
              <w:spacing w:before="0" w:after="283"/>
              <w:jc w:val="start"/>
              <w:rPr/>
            </w:pPr>
            <w:r>
              <w:rPr/>
              <w:t xml:space="preserve">#Freely Rotating Bonds: </w:t>
            </w:r>
          </w:p>
        </w:tc>
        <w:tc>
          <w:tcPr>
            <w:tcW w:w="1608" w:type="dxa"/>
            <w:tcBorders/>
            <w:vAlign w:val="center"/>
          </w:tcPr>
          <w:p>
            <w:pPr>
              <w:pStyle w:val="TableContents"/>
              <w:bidi w:val="0"/>
              <w:spacing w:before="0" w:after="283"/>
              <w:jc w:val="start"/>
              <w:rPr/>
            </w:pPr>
            <w:r>
              <w:rPr/>
              <w:t xml:space="preserve">4 </w:t>
            </w:r>
          </w:p>
        </w:tc>
      </w:tr>
      <w:tr>
        <w:trPr/>
        <w:tc>
          <w:tcPr>
            <w:tcW w:w="1821" w:type="dxa"/>
            <w:tcBorders/>
            <w:vAlign w:val="center"/>
          </w:tcPr>
          <w:p>
            <w:pPr>
              <w:pStyle w:val="TableContents"/>
              <w:bidi w:val="0"/>
              <w:spacing w:before="0" w:after="283"/>
              <w:jc w:val="start"/>
              <w:rPr/>
            </w:pPr>
            <w:r>
              <w:rPr/>
              <w:t xml:space="preserve">#Rule of 5 Violations: </w:t>
            </w:r>
          </w:p>
        </w:tc>
        <w:tc>
          <w:tcPr>
            <w:tcW w:w="1608" w:type="dxa"/>
            <w:tcBorders/>
            <w:vAlign w:val="center"/>
          </w:tcPr>
          <w:p>
            <w:pPr>
              <w:pStyle w:val="TableContents"/>
              <w:bidi w:val="0"/>
              <w:spacing w:before="0" w:after="283"/>
              <w:jc w:val="start"/>
              <w:rPr/>
            </w:pPr>
            <w:r>
              <w:rPr/>
              <w:t xml:space="preserve">1 </w:t>
            </w:r>
          </w:p>
        </w:tc>
      </w:tr>
    </w:tbl>
    <w:tbl>
      <w:tblPr>
        <w:tblW w:w="5000" w:type="pct"/>
        <w:jc w:val="start"/>
        <w:tblInd w:w="0" w:type="dxa"/>
        <w:tblLayout w:type="fixed"/>
        <w:tblCellMar>
          <w:top w:w="28" w:type="dxa"/>
          <w:start w:w="28" w:type="dxa"/>
          <w:bottom w:w="28" w:type="dxa"/>
          <w:end w:w="28" w:type="dxa"/>
        </w:tblCellMar>
      </w:tblPr>
      <w:tblGrid>
        <w:gridCol w:w="1881"/>
        <w:gridCol w:w="1548"/>
      </w:tblGrid>
      <w:tr>
        <w:trPr/>
        <w:tc>
          <w:tcPr>
            <w:tcW w:w="1881" w:type="dxa"/>
            <w:tcBorders/>
            <w:vAlign w:val="center"/>
          </w:tcPr>
          <w:p>
            <w:pPr>
              <w:pStyle w:val="TableContents"/>
              <w:bidi w:val="0"/>
              <w:spacing w:before="0" w:after="283"/>
              <w:jc w:val="start"/>
              <w:rPr/>
            </w:pPr>
            <w:r>
              <w:rPr/>
              <w:t xml:space="preserve">ACD/LogP: </w:t>
            </w:r>
          </w:p>
        </w:tc>
        <w:tc>
          <w:tcPr>
            <w:tcW w:w="1548" w:type="dxa"/>
            <w:tcBorders/>
            <w:vAlign w:val="center"/>
          </w:tcPr>
          <w:p>
            <w:pPr>
              <w:pStyle w:val="TableContents"/>
              <w:bidi w:val="0"/>
              <w:spacing w:before="0" w:after="283"/>
              <w:jc w:val="start"/>
              <w:rPr/>
            </w:pPr>
            <w:r>
              <w:rPr/>
              <w:t xml:space="preserve">5. 52 </w:t>
            </w:r>
          </w:p>
        </w:tc>
      </w:tr>
      <w:tr>
        <w:trPr/>
        <w:tc>
          <w:tcPr>
            <w:tcW w:w="1881" w:type="dxa"/>
            <w:tcBorders/>
            <w:vAlign w:val="center"/>
          </w:tcPr>
          <w:p>
            <w:pPr>
              <w:pStyle w:val="TableContents"/>
              <w:bidi w:val="0"/>
              <w:spacing w:before="0" w:after="283"/>
              <w:jc w:val="start"/>
              <w:rPr/>
            </w:pPr>
            <w:r>
              <w:rPr/>
              <w:t xml:space="preserve">ACD/LogD (pH 5. 5): </w:t>
            </w:r>
          </w:p>
        </w:tc>
        <w:tc>
          <w:tcPr>
            <w:tcW w:w="1548" w:type="dxa"/>
            <w:tcBorders/>
            <w:vAlign w:val="center"/>
          </w:tcPr>
          <w:p>
            <w:pPr>
              <w:pStyle w:val="TableContents"/>
              <w:bidi w:val="0"/>
              <w:spacing w:before="0" w:after="283"/>
              <w:jc w:val="start"/>
              <w:rPr/>
            </w:pPr>
            <w:r>
              <w:rPr/>
              <w:t xml:space="preserve">4. 75 </w:t>
            </w:r>
          </w:p>
        </w:tc>
      </w:tr>
      <w:tr>
        <w:trPr/>
        <w:tc>
          <w:tcPr>
            <w:tcW w:w="1881" w:type="dxa"/>
            <w:tcBorders/>
            <w:vAlign w:val="center"/>
          </w:tcPr>
          <w:p>
            <w:pPr>
              <w:pStyle w:val="TableContents"/>
              <w:bidi w:val="0"/>
              <w:spacing w:before="0" w:after="283"/>
              <w:jc w:val="start"/>
              <w:rPr/>
            </w:pPr>
            <w:r>
              <w:rPr/>
              <w:t xml:space="preserve">ACD/BCF (pH 5. 5): </w:t>
            </w:r>
          </w:p>
        </w:tc>
        <w:tc>
          <w:tcPr>
            <w:tcW w:w="1548" w:type="dxa"/>
            <w:tcBorders/>
            <w:vAlign w:val="center"/>
          </w:tcPr>
          <w:p>
            <w:pPr>
              <w:pStyle w:val="TableContents"/>
              <w:bidi w:val="0"/>
              <w:spacing w:before="0" w:after="283"/>
              <w:jc w:val="start"/>
              <w:rPr/>
            </w:pPr>
            <w:r>
              <w:rPr/>
              <w:t xml:space="preserve">2415. 10 </w:t>
            </w:r>
          </w:p>
        </w:tc>
      </w:tr>
      <w:tr>
        <w:trPr/>
        <w:tc>
          <w:tcPr>
            <w:tcW w:w="1881" w:type="dxa"/>
            <w:tcBorders/>
            <w:vAlign w:val="center"/>
          </w:tcPr>
          <w:p>
            <w:pPr>
              <w:pStyle w:val="TableContents"/>
              <w:bidi w:val="0"/>
              <w:spacing w:before="0" w:after="283"/>
              <w:jc w:val="start"/>
              <w:rPr/>
            </w:pPr>
            <w:r>
              <w:rPr/>
              <w:t xml:space="preserve">ACD/KOC (pH 5. 5): </w:t>
            </w:r>
          </w:p>
        </w:tc>
        <w:tc>
          <w:tcPr>
            <w:tcW w:w="1548" w:type="dxa"/>
            <w:tcBorders/>
            <w:vAlign w:val="center"/>
          </w:tcPr>
          <w:p>
            <w:pPr>
              <w:pStyle w:val="TableContents"/>
              <w:bidi w:val="0"/>
              <w:spacing w:before="0" w:after="283"/>
              <w:jc w:val="start"/>
              <w:rPr/>
            </w:pPr>
            <w:r>
              <w:rPr/>
              <w:t xml:space="preserve">9185. 46 </w:t>
            </w:r>
          </w:p>
        </w:tc>
      </w:tr>
      <w:tr>
        <w:trPr/>
        <w:tc>
          <w:tcPr>
            <w:tcW w:w="1881" w:type="dxa"/>
            <w:tcBorders/>
            <w:vAlign w:val="center"/>
          </w:tcPr>
          <w:p>
            <w:pPr>
              <w:pStyle w:val="TableContents"/>
              <w:bidi w:val="0"/>
              <w:spacing w:before="0" w:after="283"/>
              <w:jc w:val="start"/>
              <w:rPr/>
            </w:pPr>
            <w:r>
              <w:rPr/>
              <w:t xml:space="preserve">ACD/LogD (pH 7. 4): </w:t>
            </w:r>
          </w:p>
        </w:tc>
        <w:tc>
          <w:tcPr>
            <w:tcW w:w="1548" w:type="dxa"/>
            <w:tcBorders/>
            <w:vAlign w:val="center"/>
          </w:tcPr>
          <w:p>
            <w:pPr>
              <w:pStyle w:val="TableContents"/>
              <w:bidi w:val="0"/>
              <w:spacing w:before="0" w:after="283"/>
              <w:jc w:val="start"/>
              <w:rPr/>
            </w:pPr>
            <w:r>
              <w:rPr/>
              <w:t xml:space="preserve">4. 75 </w:t>
            </w:r>
          </w:p>
        </w:tc>
      </w:tr>
      <w:tr>
        <w:trPr/>
        <w:tc>
          <w:tcPr>
            <w:tcW w:w="1881" w:type="dxa"/>
            <w:tcBorders/>
            <w:vAlign w:val="center"/>
          </w:tcPr>
          <w:p>
            <w:pPr>
              <w:pStyle w:val="TableContents"/>
              <w:bidi w:val="0"/>
              <w:spacing w:before="0" w:after="283"/>
              <w:jc w:val="start"/>
              <w:rPr/>
            </w:pPr>
            <w:r>
              <w:rPr/>
              <w:t xml:space="preserve">ACD/BCF (pH 7. 4): </w:t>
            </w:r>
          </w:p>
        </w:tc>
        <w:tc>
          <w:tcPr>
            <w:tcW w:w="1548" w:type="dxa"/>
            <w:tcBorders/>
            <w:vAlign w:val="center"/>
          </w:tcPr>
          <w:p>
            <w:pPr>
              <w:pStyle w:val="TableContents"/>
              <w:bidi w:val="0"/>
              <w:spacing w:before="0" w:after="283"/>
              <w:jc w:val="start"/>
              <w:rPr/>
            </w:pPr>
            <w:r>
              <w:rPr/>
              <w:t xml:space="preserve">2415. 10 </w:t>
            </w:r>
          </w:p>
        </w:tc>
      </w:tr>
      <w:tr>
        <w:trPr/>
        <w:tc>
          <w:tcPr>
            <w:tcW w:w="1881" w:type="dxa"/>
            <w:tcBorders/>
            <w:vAlign w:val="center"/>
          </w:tcPr>
          <w:p>
            <w:pPr>
              <w:pStyle w:val="TableContents"/>
              <w:bidi w:val="0"/>
              <w:spacing w:before="0" w:after="283"/>
              <w:jc w:val="start"/>
              <w:rPr/>
            </w:pPr>
            <w:r>
              <w:rPr/>
              <w:t xml:space="preserve">ACD/KOC (pH 7. 4): </w:t>
            </w:r>
          </w:p>
        </w:tc>
        <w:tc>
          <w:tcPr>
            <w:tcW w:w="1548" w:type="dxa"/>
            <w:tcBorders/>
            <w:vAlign w:val="center"/>
          </w:tcPr>
          <w:p>
            <w:pPr>
              <w:pStyle w:val="TableContents"/>
              <w:bidi w:val="0"/>
              <w:spacing w:before="0" w:after="283"/>
              <w:jc w:val="start"/>
              <w:rPr/>
            </w:pPr>
            <w:r>
              <w:rPr/>
              <w:t xml:space="preserve">9185. 46 </w:t>
            </w:r>
          </w:p>
        </w:tc>
      </w:tr>
      <w:tr>
        <w:trPr/>
        <w:tc>
          <w:tcPr>
            <w:tcW w:w="1881" w:type="dxa"/>
            <w:tcBorders/>
            <w:vAlign w:val="center"/>
          </w:tcPr>
          <w:p>
            <w:pPr>
              <w:pStyle w:val="TableContents"/>
              <w:bidi w:val="0"/>
              <w:spacing w:before="0" w:after="283"/>
              <w:jc w:val="start"/>
              <w:rPr/>
            </w:pPr>
            <w:r>
              <w:rPr/>
              <w:t xml:space="preserve">Polar Surface Area: </w:t>
            </w:r>
          </w:p>
        </w:tc>
        <w:tc>
          <w:tcPr>
            <w:tcW w:w="1548" w:type="dxa"/>
            <w:tcBorders/>
            <w:vAlign w:val="center"/>
          </w:tcPr>
          <w:p>
            <w:pPr>
              <w:pStyle w:val="TableContents"/>
              <w:bidi w:val="0"/>
              <w:spacing w:before="0" w:after="283"/>
              <w:jc w:val="start"/>
              <w:rPr/>
            </w:pPr>
            <w:r>
              <w:rPr/>
              <w:t xml:space="preserve">0 Å </w:t>
            </w:r>
            <w:r>
              <w:rPr>
                <w:position w:val="8"/>
                <w:sz w:val="19"/>
              </w:rPr>
              <w:t xml:space="preserve">2 </w:t>
            </w:r>
          </w:p>
        </w:tc>
      </w:tr>
      <w:tr>
        <w:trPr/>
        <w:tc>
          <w:tcPr>
            <w:tcW w:w="1881" w:type="dxa"/>
            <w:tcBorders/>
            <w:vAlign w:val="center"/>
          </w:tcPr>
          <w:p>
            <w:pPr>
              <w:pStyle w:val="TableContents"/>
              <w:bidi w:val="0"/>
              <w:spacing w:before="0" w:after="283"/>
              <w:jc w:val="start"/>
              <w:rPr/>
            </w:pPr>
            <w:r>
              <w:rPr/>
              <w:t xml:space="preserve">Polarizability: </w:t>
            </w:r>
          </w:p>
        </w:tc>
        <w:tc>
          <w:tcPr>
            <w:tcW w:w="1548" w:type="dxa"/>
            <w:tcBorders/>
            <w:vAlign w:val="center"/>
          </w:tcPr>
          <w:p>
            <w:pPr>
              <w:pStyle w:val="TableContents"/>
              <w:bidi w:val="0"/>
              <w:spacing w:before="0" w:after="283"/>
              <w:jc w:val="start"/>
              <w:rPr/>
            </w:pPr>
            <w:r>
              <w:rPr/>
              <w:t xml:space="preserve">19. 1±0. 5 10 </w:t>
            </w:r>
            <w:r>
              <w:rPr>
                <w:position w:val="8"/>
                <w:sz w:val="19"/>
              </w:rPr>
              <w:t xml:space="preserve">-24 </w:t>
            </w:r>
            <w:r>
              <w:rPr/>
              <w:t xml:space="preserve">cm </w:t>
            </w:r>
            <w:r>
              <w:rPr>
                <w:position w:val="8"/>
                <w:sz w:val="19"/>
              </w:rPr>
              <w:t xml:space="preserve">3 </w:t>
            </w:r>
          </w:p>
        </w:tc>
      </w:tr>
      <w:tr>
        <w:trPr/>
        <w:tc>
          <w:tcPr>
            <w:tcW w:w="1881" w:type="dxa"/>
            <w:tcBorders/>
            <w:vAlign w:val="center"/>
          </w:tcPr>
          <w:p>
            <w:pPr>
              <w:pStyle w:val="TableContents"/>
              <w:bidi w:val="0"/>
              <w:spacing w:before="0" w:after="283"/>
              <w:jc w:val="start"/>
              <w:rPr/>
            </w:pPr>
            <w:r>
              <w:rPr/>
              <w:t xml:space="preserve">Surface Tension: </w:t>
            </w:r>
          </w:p>
        </w:tc>
        <w:tc>
          <w:tcPr>
            <w:tcW w:w="1548" w:type="dxa"/>
            <w:tcBorders/>
            <w:vAlign w:val="center"/>
          </w:tcPr>
          <w:p>
            <w:pPr>
              <w:pStyle w:val="TableContents"/>
              <w:bidi w:val="0"/>
              <w:spacing w:before="0" w:after="283"/>
              <w:jc w:val="start"/>
              <w:rPr/>
            </w:pPr>
            <w:r>
              <w:rPr/>
              <w:t xml:space="preserve">22. 1±3. 0 dyne/cm </w:t>
            </w:r>
          </w:p>
        </w:tc>
      </w:tr>
      <w:tr>
        <w:trPr/>
        <w:tc>
          <w:tcPr>
            <w:tcW w:w="1881" w:type="dxa"/>
            <w:tcBorders/>
            <w:vAlign w:val="center"/>
          </w:tcPr>
          <w:p>
            <w:pPr>
              <w:pStyle w:val="TableContents"/>
              <w:bidi w:val="0"/>
              <w:spacing w:before="0" w:after="283"/>
              <w:jc w:val="start"/>
              <w:rPr/>
            </w:pPr>
            <w:r>
              <w:rPr/>
              <w:t xml:space="preserve">Molar Volume: </w:t>
            </w:r>
          </w:p>
        </w:tc>
        <w:tc>
          <w:tcPr>
            <w:tcW w:w="1548" w:type="dxa"/>
            <w:tcBorders/>
            <w:vAlign w:val="center"/>
          </w:tcPr>
          <w:p>
            <w:pPr>
              <w:pStyle w:val="TableContents"/>
              <w:bidi w:val="0"/>
              <w:spacing w:before="0" w:after="283"/>
              <w:jc w:val="start"/>
              <w:rPr/>
            </w:pPr>
            <w:r>
              <w:rPr/>
              <w:t xml:space="preserve">194. 7±3.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5. 03Boiling Pt, Melting Pt, Vapor Pressure Estimations (MPBPWIN v1. 42): Boiling Pt (deg C): 124. 32 (Adapted Stein &amp; Brown method)Melting Pt (deg C): -78. 39 (Mean or Weighted MP)VP(mm Hg, 25 deg C): 4. 28 (Mean VP of Antoine &amp; Grain methods)BP (exp database): 154. 1 deg CWater Solubility Estimate from Log Kow (WSKOW v1. 41): Water Solubility at 25 deg C (mg/L): 1. 2log Kow used: 5. 03 (estimated)no-melting pt equation usedWater Sol Estimate from Fragments: Wat Sol (v1. 01 est) = 0. 43165 mg/LECOSAR Class Program (ECOSAR v0. 99h): Class(es) found: Neutral OrganicsHenrys Law Constant (25 deg C) [HENRYWIN v3. 10]: Bond Method : 5. 30E+000 atm-m3/moleGroup Method: 1. 17E+001 atm-m3/moleHenrys LC [VP/WSol estimate using EPI values]: 6. 678E-001 atm-m3/moleLog Octanol-Air Partition Coefficient (25 deg C) [KOAWIN v1. 10]: Log Kow used: 5. 03 (KowWin est)Log Kaw used: 2. 336 (HenryWin est)Log Koa (KOAWIN v1. 10 estimate): 2. 694Log Koa (experimental database): NoneProbability of Rapid Biodegradation (BIOWIN v4. 10): Biowin1 (Linear Model) : 0. 6798Biowin2 (Non-Linear Model) : 0. 7287Expert Survey Biodegradation Results: Biowin3 (Ultimate Survey Model): 2. 8847 (weeks )Biowin4 (Primary Survey Model) : 3. 6425 (days-weeks )MITI Biodegradation Probability: Biowin5 (MITI Linear Model) : 0. 2377Biowin6 (MITI Non-Linear Model): 0. 2839Anaerobic Biodegradation Probability: Biowin7 (Anaerobic Linear Model): -0. 0073Ready Biodegradability Prediction: NOHydrocarbon Biodegradation (BioHCwin v1. 01): LOG BioHC Half-Life (days) : 1. 0111BioHC Half-Life (days) : 10. 2591Sorption to aerosols (25 Dec C)[AEROWIN v1. 00]: Vapor pressure (liquid/subcooled): 523 Pa (3. 92 mm Hg)Log Koa (Koawin est ): 2. 694Kp (particle/gas partition coef. (m3/ug)): Mackay model : 5. 74E-009 Octanol/air (Koa) model: 1. 21E-010 Fraction sorbed to airborne particulates (phi): Junge-Pankow model : 2. 07E-007 Mackay model : 4. 59E-007 Octanol/air (Koa) model: 9. 71E-009 Atmospheric Oxidation (25 deg C) [AopWin v1. 92]: Hydroxyl Radicals Reaction: OVERALL OH Rate Constant = 11. 7808 E-12 cm3/molecule-secHalf-Life = 0. 908 Days (12-hr day; 1. 5E6 OH/cm3)Half-Life = 10. 895 HrsOzone Reaction: No Ozone Reaction EstimationFraction sorbed to airborne particulates (phi): 3. 33E-007 (Junge, Mackay)Note: the sorbed fraction may be resistant to atmospheric oxidationSoil Adsorption Coefficient (PCKOCWIN v1. 66): Koc : 1137Log Koc: 3. 056 Aqueous Base/Acid-Catalyzed Hydrolysis (25 deg C) [HYDROWIN v1. 67]: Rate constants can NOT be estimated for this structure! Bioaccumulation Estimates from Log Kow (BCFWIN v2. 17): Log BCF from regression-based method = 3. 175 (BCF = 1495)log Kow used: 5. 03 (estimated)Volatilization from Water: Henry LC: 5. 3 atm-m3/mole (estimated by Bond SAR Method)Half-Life from Model River: 1. 217 hoursHalf-Life from Model Lake : 113. 3 hours (4. 721 days)Removal In Wastewater Treatment (recommended maximum 95%): Total removal: 99. 97 percentTotal biodegradation: 0. 15 percentTotal sludge adsorption: 48. 55 percentTotal to Air: 51. 27 percent(using 10000 hr Bio P, A, S)Level III Fugacity Model: Mass Amount Half-Life Emissions(percent) (hr) (kg/hr)Air 11. 2 21. 8 1000 Water 35. 7 360 1000 Soil 9. 59 720 1000 Sediment 43. 5 3. 24e+003 0 Persistence Time: 169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https://assignbuster.com/3-ethyl-25-dimethylhexane-c10h22-structure/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3-ethyl-2,5-dimethylhexane c10h22 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ethyl-25-dimethylhexane-c10h22-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3-ethyl-2,5-dimethylhexane c10h22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3-ethyl-2,5-dimethylhexane c10h22 structure</dc:title>
  <dc:subject>Others;</dc:subject>
  <dc:creator>AssignBuster</dc:creator>
  <cp:keywords/>
  <dc:description>3 cm 3 Polarizability 19.1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