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"https://assignbuster.com/main-types-of-state-and-independent-schools/"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Main types of state and independent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both"/>
        <w:rPr/>
      </w:pPr>
      <w:r>
        <w:rPr/>
        <w:t xml:space="preserve">Describe the characteristics of the different types of schools in relation to educational stages and school governance. </w:t>
      </w:r>
    </w:p>
    <w:p>
      <w:pPr>
        <w:pStyle w:val="TextBody"/>
        <w:numPr>
          <w:ilvl w:val="0"/>
          <w:numId w:val="1"/>
        </w:numPr>
        <w:tabs>
          <w:tab w:val="clear" w:pos="1134"/>
          <w:tab w:val="left" w:pos="707" w:leader="none"/>
        </w:tabs>
        <w:bidi w:val="0"/>
        <w:ind w:start="707" w:hanging="283"/>
        <w:jc w:val="both"/>
        <w:rPr/>
      </w:pPr>
      <w:r>
        <w:rPr/>
        <w:t xml:space="preserve">Community schools </w:t>
      </w:r>
    </w:p>
    <w:p>
      <w:pPr>
        <w:pStyle w:val="TextBody"/>
        <w:bidi w:val="0"/>
        <w:jc w:val="both"/>
        <w:rPr/>
      </w:pPr>
      <w:r>
        <w:rPr/>
        <w:t xml:space="preserve">These are run by the LocalEducationAuthority and are funded by the state via the local authority. These schools follow the national curriculum. The LEA usually owns and hasresponsibilityfor all buildings and premises as well as employing staff and admissions. </w:t>
      </w:r>
    </w:p>
    <w:p>
      <w:pPr>
        <w:pStyle w:val="TextBody"/>
        <w:numPr>
          <w:ilvl w:val="0"/>
          <w:numId w:val="2"/>
        </w:numPr>
        <w:tabs>
          <w:tab w:val="clear" w:pos="1134"/>
          <w:tab w:val="left" w:pos="707" w:leader="none"/>
        </w:tabs>
        <w:bidi w:val="0"/>
        <w:ind w:start="707" w:hanging="283"/>
        <w:jc w:val="both"/>
        <w:rPr/>
      </w:pPr>
      <w:r>
        <w:rPr/>
        <w:t xml:space="preserve">Voluntary controlled schools </w:t>
      </w:r>
    </w:p>
    <w:p>
      <w:pPr>
        <w:pStyle w:val="TextBody"/>
        <w:bidi w:val="0"/>
        <w:jc w:val="both"/>
        <w:rPr/>
      </w:pPr>
      <w:r>
        <w:rPr/>
        <w:t xml:space="preserve">These schools have a religious affiliation (predominantly Church of England) and are funded by central government via the local authority. The LEA are responsible for the land and buildings although these are typically owned by a charitable foundation who also appoint about a quarter of the schools governors. The LEA are responsible for employing staff and admissions and pupils follow the national curriculum. </w:t>
      </w:r>
    </w:p>
    <w:p>
      <w:pPr>
        <w:pStyle w:val="TextBody"/>
        <w:numPr>
          <w:ilvl w:val="0"/>
          <w:numId w:val="3"/>
        </w:numPr>
        <w:tabs>
          <w:tab w:val="clear" w:pos="1134"/>
          <w:tab w:val="left" w:pos="707" w:leader="none"/>
        </w:tabs>
        <w:bidi w:val="0"/>
        <w:ind w:start="707" w:hanging="283"/>
        <w:jc w:val="both"/>
        <w:rPr/>
      </w:pPr>
      <w:r>
        <w:rPr/>
        <w:t xml:space="preserve">Voluntary aided schools </w:t>
      </w:r>
    </w:p>
    <w:p>
      <w:pPr>
        <w:pStyle w:val="TextBody"/>
        <w:bidi w:val="0"/>
        <w:jc w:val="both"/>
        <w:rPr/>
      </w:pPr>
      <w:r>
        <w:rPr/>
        <w:t xml:space="preserve">These schools also have a religious affiliation and are largely funded by the state although a trust or foundation, represented by a proportion of the schools governors, provide some funds for buildings etc. These schools have more autonomy than voluntary controlled schools and the governors are responsible for employing staff and admissions. They follow the national curriculum and are also advised and supported by the LEA. </w:t>
      </w:r>
    </w:p>
    <w:p>
      <w:pPr>
        <w:pStyle w:val="TextBody"/>
        <w:numPr>
          <w:ilvl w:val="0"/>
          <w:numId w:val="4"/>
        </w:numPr>
        <w:tabs>
          <w:tab w:val="clear" w:pos="1134"/>
          <w:tab w:val="left" w:pos="707" w:leader="none"/>
        </w:tabs>
        <w:bidi w:val="0"/>
        <w:ind w:start="707" w:hanging="283"/>
        <w:jc w:val="both"/>
        <w:rPr/>
      </w:pPr>
      <w:r>
        <w:rPr/>
        <w:t xml:space="preserve">Foundation schools </w:t>
      </w:r>
    </w:p>
    <w:p>
      <w:pPr>
        <w:pStyle w:val="TextBody"/>
        <w:bidi w:val="0"/>
        <w:jc w:val="both"/>
        <w:rPr/>
      </w:pPr>
      <w:r>
        <w:rPr/>
        <w:t xml:space="preserve">These are state funded via the LEA, who also have responsibility for buildings and premises as well as curriculum and a supporting and advisory role. Governors are responsible for employing staff. </w:t>
      </w:r>
    </w:p>
    <w:p>
      <w:pPr>
        <w:pStyle w:val="TextBody"/>
        <w:numPr>
          <w:ilvl w:val="0"/>
          <w:numId w:val="5"/>
        </w:numPr>
        <w:tabs>
          <w:tab w:val="clear" w:pos="1134"/>
          <w:tab w:val="left" w:pos="707" w:leader="none"/>
        </w:tabs>
        <w:bidi w:val="0"/>
        <w:ind w:start="707" w:hanging="283"/>
        <w:jc w:val="both"/>
        <w:rPr/>
      </w:pPr>
      <w:r>
        <w:rPr/>
        <w:t xml:space="preserve">Free schools </w:t>
      </w:r>
    </w:p>
    <w:p>
      <w:pPr>
        <w:pStyle w:val="TextBody"/>
        <w:bidi w:val="0"/>
        <w:jc w:val="both"/>
        <w:rPr/>
      </w:pPr>
      <w:r>
        <w:rPr/>
        <w:t xml:space="preserve">These are state funded directly with no links to the LEA. Governors are responsible for employing staff and admissions as well as buildings and premises. Pupils do not follow the national curriculum. This type of school can be set up by any group applying to the government, but they must adhere to strict rules. </w:t>
      </w:r>
    </w:p>
    <w:p>
      <w:pPr>
        <w:pStyle w:val="TextBody"/>
        <w:numPr>
          <w:ilvl w:val="0"/>
          <w:numId w:val="6"/>
        </w:numPr>
        <w:tabs>
          <w:tab w:val="clear" w:pos="1134"/>
          <w:tab w:val="left" w:pos="707" w:leader="none"/>
        </w:tabs>
        <w:bidi w:val="0"/>
        <w:ind w:start="707" w:hanging="283"/>
        <w:jc w:val="both"/>
        <w:rPr/>
      </w:pPr>
      <w:r>
        <w:rPr/>
        <w:t xml:space="preserve">Academies </w:t>
      </w:r>
    </w:p>
    <w:p>
      <w:pPr>
        <w:pStyle w:val="TextBody"/>
        <w:bidi w:val="0"/>
        <w:jc w:val="both"/>
        <w:rPr/>
      </w:pPr>
      <w:r>
        <w:rPr/>
        <w:t xml:space="preserve">State funded with no link to LEA. Governors are responsible for employing staff and admissions as well as buildings and premises. pupils do not have to follow the national curriculum but must meet the core subject requirements. They are self governing and most are constituted as registered charities and may also have corporate sponsors. </w:t>
      </w:r>
    </w:p>
    <w:p>
      <w:pPr>
        <w:pStyle w:val="TextBody"/>
        <w:numPr>
          <w:ilvl w:val="0"/>
          <w:numId w:val="7"/>
        </w:numPr>
        <w:tabs>
          <w:tab w:val="clear" w:pos="1134"/>
          <w:tab w:val="left" w:pos="707" w:leader="none"/>
        </w:tabs>
        <w:bidi w:val="0"/>
        <w:ind w:start="707" w:hanging="283"/>
        <w:jc w:val="both"/>
        <w:rPr/>
      </w:pPr>
      <w:r>
        <w:rPr/>
        <w:t xml:space="preserve">Independent (private) schools </w:t>
      </w:r>
    </w:p>
    <w:p>
      <w:pPr>
        <w:pStyle w:val="TextBody"/>
        <w:bidi w:val="0"/>
        <w:jc w:val="both"/>
        <w:rPr/>
      </w:pPr>
      <w:r>
        <w:rPr/>
        <w:t xml:space="preserve">Privately funded and usually fee paying. The owners are responsible for buildings and premises as well as employing staff and admissions. they do not have to follow the national curriculum but they have to be registered with the Department for Education and inspected by an independent schools inspectorate. </w:t>
      </w:r>
    </w:p>
    <w:p>
      <w:pPr>
        <w:pStyle w:val="Heading2"/>
        <w:bidi w:val="0"/>
        <w:jc w:val="both"/>
        <w:rPr/>
      </w:pPr>
      <w:r>
        <w:rPr/>
        <w:t xml:space="preserve">Educational Stages and Age Groups </w:t>
      </w:r>
    </w:p>
    <w:p>
      <w:pPr>
        <w:pStyle w:val="TextBody"/>
        <w:bidi w:val="0"/>
        <w:spacing w:before="0" w:after="283"/>
        <w:jc w:val="start"/>
        <w:rPr/>
      </w:pPr>
      <w:r>
        <w:rPr/>
        <w:t xml:space="preserve">Nursery &amp; Reception </w:t>
      </w:r>
    </w:p>
    <w:p>
      <w:pPr>
        <w:pStyle w:val="TextBody"/>
        <w:numPr>
          <w:ilvl w:val="0"/>
          <w:numId w:val="8"/>
        </w:numPr>
        <w:tabs>
          <w:tab w:val="clear" w:pos="1134"/>
          <w:tab w:val="left" w:pos="707" w:leader="none"/>
        </w:tabs>
        <w:bidi w:val="0"/>
        <w:spacing w:before="0" w:after="0"/>
        <w:ind w:start="707" w:hanging="283"/>
        <w:jc w:val="both"/>
        <w:rPr/>
      </w:pPr>
      <w:r>
        <w:rPr/>
        <w:t xml:space="preserve">Year 1 &amp; 2 </w:t>
      </w:r>
    </w:p>
    <w:p>
      <w:pPr>
        <w:pStyle w:val="TextBody"/>
        <w:numPr>
          <w:ilvl w:val="0"/>
          <w:numId w:val="8"/>
        </w:numPr>
        <w:tabs>
          <w:tab w:val="clear" w:pos="1134"/>
          <w:tab w:val="left" w:pos="707" w:leader="none"/>
        </w:tabs>
        <w:bidi w:val="0"/>
        <w:spacing w:before="0" w:after="0"/>
        <w:ind w:start="707" w:hanging="283"/>
        <w:jc w:val="both"/>
        <w:rPr/>
      </w:pPr>
      <w:r>
        <w:rPr/>
        <w:t xml:space="preserve">Year 3-6 </w:t>
      </w:r>
    </w:p>
    <w:p>
      <w:pPr>
        <w:pStyle w:val="TextBody"/>
        <w:numPr>
          <w:ilvl w:val="0"/>
          <w:numId w:val="8"/>
        </w:numPr>
        <w:tabs>
          <w:tab w:val="clear" w:pos="1134"/>
          <w:tab w:val="left" w:pos="707" w:leader="none"/>
        </w:tabs>
        <w:bidi w:val="0"/>
        <w:spacing w:before="0" w:after="0"/>
        <w:ind w:start="707" w:hanging="283"/>
        <w:jc w:val="both"/>
        <w:rPr/>
      </w:pPr>
      <w:r>
        <w:rPr/>
        <w:t xml:space="preserve">Year 7-9 </w:t>
      </w:r>
    </w:p>
    <w:p>
      <w:pPr>
        <w:pStyle w:val="TextBody"/>
        <w:numPr>
          <w:ilvl w:val="0"/>
          <w:numId w:val="8"/>
        </w:numPr>
        <w:tabs>
          <w:tab w:val="clear" w:pos="1134"/>
          <w:tab w:val="left" w:pos="707" w:leader="none"/>
        </w:tabs>
        <w:bidi w:val="0"/>
        <w:spacing w:before="0" w:after="0"/>
        <w:ind w:start="707" w:hanging="283"/>
        <w:jc w:val="both"/>
        <w:rPr/>
      </w:pPr>
      <w:r>
        <w:rPr/>
        <w:t xml:space="preserve">Years 10 &amp; 11 </w:t>
      </w:r>
    </w:p>
    <w:p>
      <w:pPr>
        <w:pStyle w:val="TextBody"/>
        <w:numPr>
          <w:ilvl w:val="0"/>
          <w:numId w:val="8"/>
        </w:numPr>
        <w:tabs>
          <w:tab w:val="clear" w:pos="1134"/>
          <w:tab w:val="left" w:pos="707" w:leader="none"/>
        </w:tabs>
        <w:bidi w:val="0"/>
        <w:ind w:start="707" w:hanging="283"/>
        <w:jc w:val="both"/>
        <w:rPr/>
      </w:pPr>
      <w:r>
        <w:rPr/>
        <w:t xml:space="preserve">Years 12 &amp; 13 </w:t>
      </w:r>
    </w:p>
    <w:p>
      <w:pPr>
        <w:pStyle w:val="TextBody"/>
        <w:bidi w:val="0"/>
        <w:jc w:val="both"/>
        <w:rPr/>
      </w:pPr>
      <w:r>
        <w:rPr/>
        <w:t xml:space="preserve">foundation 3-5yrs </w:t>
      </w:r>
    </w:p>
    <w:p>
      <w:pPr>
        <w:pStyle w:val="TextBody"/>
        <w:numPr>
          <w:ilvl w:val="0"/>
          <w:numId w:val="10"/>
        </w:numPr>
        <w:tabs>
          <w:tab w:val="clear" w:pos="1134"/>
          <w:tab w:val="left" w:pos="707" w:leader="none"/>
        </w:tabs>
        <w:bidi w:val="0"/>
        <w:spacing w:before="0" w:after="0"/>
        <w:ind w:start="707" w:hanging="283"/>
        <w:jc w:val="both"/>
        <w:rPr/>
      </w:pPr>
      <w:r>
        <w:rPr/>
        <w:t xml:space="preserve">key stage 1 </w:t>
        <w:br/>
        <w:t xml:space="preserve">5-7yrs </w:t>
      </w:r>
    </w:p>
    <w:p>
      <w:pPr>
        <w:pStyle w:val="TextBody"/>
        <w:numPr>
          <w:ilvl w:val="0"/>
          <w:numId w:val="10"/>
        </w:numPr>
        <w:tabs>
          <w:tab w:val="clear" w:pos="1134"/>
          <w:tab w:val="left" w:pos="707" w:leader="none"/>
        </w:tabs>
        <w:bidi w:val="0"/>
        <w:spacing w:before="0" w:after="0"/>
        <w:ind w:start="707" w:hanging="283"/>
        <w:jc w:val="both"/>
        <w:rPr/>
      </w:pPr>
      <w:r>
        <w:rPr/>
        <w:t xml:space="preserve">key stage 2 </w:t>
        <w:br/>
        <w:t xml:space="preserve">7-11yrs </w:t>
      </w:r>
    </w:p>
    <w:p>
      <w:pPr>
        <w:pStyle w:val="TextBody"/>
        <w:numPr>
          <w:ilvl w:val="0"/>
          <w:numId w:val="10"/>
        </w:numPr>
        <w:tabs>
          <w:tab w:val="clear" w:pos="1134"/>
          <w:tab w:val="left" w:pos="707" w:leader="none"/>
        </w:tabs>
        <w:bidi w:val="0"/>
        <w:spacing w:before="0" w:after="0"/>
        <w:ind w:start="707" w:hanging="283"/>
        <w:jc w:val="both"/>
        <w:rPr/>
      </w:pPr>
      <w:r>
        <w:rPr/>
        <w:t xml:space="preserve">key stage 3 </w:t>
        <w:br/>
        <w:t xml:space="preserve">11-14yrs </w:t>
      </w:r>
    </w:p>
    <w:p>
      <w:pPr>
        <w:pStyle w:val="TextBody"/>
        <w:numPr>
          <w:ilvl w:val="0"/>
          <w:numId w:val="10"/>
        </w:numPr>
        <w:tabs>
          <w:tab w:val="clear" w:pos="1134"/>
          <w:tab w:val="left" w:pos="707" w:leader="none"/>
        </w:tabs>
        <w:bidi w:val="0"/>
        <w:spacing w:before="0" w:after="0"/>
        <w:ind w:start="707" w:hanging="283"/>
        <w:jc w:val="both"/>
        <w:rPr/>
      </w:pPr>
      <w:r>
        <w:rPr/>
        <w:t xml:space="preserve">key stage 4 </w:t>
        <w:br/>
        <w:t xml:space="preserve">14-16yrs </w:t>
      </w:r>
    </w:p>
    <w:p>
      <w:pPr>
        <w:pStyle w:val="TextBody"/>
        <w:numPr>
          <w:ilvl w:val="0"/>
          <w:numId w:val="10"/>
        </w:numPr>
        <w:tabs>
          <w:tab w:val="clear" w:pos="1134"/>
          <w:tab w:val="left" w:pos="707" w:leader="none"/>
        </w:tabs>
        <w:bidi w:val="0"/>
        <w:ind w:start="707" w:hanging="283"/>
        <w:jc w:val="both"/>
        <w:rPr/>
      </w:pPr>
      <w:r>
        <w:rPr/>
        <w:t xml:space="preserve">key stage 5 </w:t>
        <w:br/>
        <w:t xml:space="preserve">16-18yrs </w:t>
      </w:r>
    </w:p>
    <w:p>
      <w:pPr>
        <w:pStyle w:val="TextBody"/>
        <w:bidi w:val="0"/>
        <w:jc w:val="start"/>
        <w:rPr/>
      </w:pPr>
      <w:r>
        <w:rPr/>
        <w:t xml:space="preserve">Nursery </w:t>
      </w:r>
    </w:p>
    <w:p>
      <w:pPr>
        <w:pStyle w:val="TextBody"/>
        <w:numPr>
          <w:ilvl w:val="0"/>
          <w:numId w:val="11"/>
        </w:numPr>
        <w:tabs>
          <w:tab w:val="clear" w:pos="1134"/>
          <w:tab w:val="left" w:pos="707" w:leader="none"/>
        </w:tabs>
        <w:bidi w:val="0"/>
        <w:ind w:start="707" w:hanging="283"/>
        <w:jc w:val="start"/>
        <w:rPr/>
      </w:pPr>
      <w:r>
        <w:rPr/>
        <w:t xml:space="preserve">3-4 </w:t>
      </w:r>
    </w:p>
    <w:p>
      <w:pPr>
        <w:pStyle w:val="TextBody"/>
        <w:bidi w:val="0"/>
        <w:jc w:val="both"/>
        <w:rPr/>
      </w:pPr>
      <w:r>
        <w:rPr/>
        <w:t xml:space="preserve">Infants </w:t>
      </w:r>
    </w:p>
    <w:p>
      <w:pPr>
        <w:pStyle w:val="TextBody"/>
        <w:numPr>
          <w:ilvl w:val="0"/>
          <w:numId w:val="12"/>
        </w:numPr>
        <w:tabs>
          <w:tab w:val="clear" w:pos="1134"/>
          <w:tab w:val="left" w:pos="707" w:leader="none"/>
        </w:tabs>
        <w:bidi w:val="0"/>
        <w:spacing w:before="0" w:after="0"/>
        <w:ind w:start="707" w:hanging="283"/>
        <w:jc w:val="both"/>
        <w:rPr/>
      </w:pPr>
      <w:r>
        <w:rPr/>
        <w:t xml:space="preserve">4-5 </w:t>
      </w:r>
    </w:p>
    <w:p>
      <w:pPr>
        <w:pStyle w:val="TextBody"/>
        <w:numPr>
          <w:ilvl w:val="0"/>
          <w:numId w:val="12"/>
        </w:numPr>
        <w:tabs>
          <w:tab w:val="clear" w:pos="1134"/>
          <w:tab w:val="left" w:pos="707" w:leader="none"/>
        </w:tabs>
        <w:bidi w:val="0"/>
        <w:ind w:start="707" w:hanging="283"/>
        <w:jc w:val="both"/>
        <w:rPr/>
      </w:pPr>
      <w:r>
        <w:rPr/>
        <w:t xml:space="preserve">5-7 </w:t>
      </w:r>
    </w:p>
    <w:p>
      <w:pPr>
        <w:pStyle w:val="TextBody"/>
        <w:bidi w:val="0"/>
        <w:jc w:val="both"/>
        <w:rPr/>
      </w:pPr>
      <w:r>
        <w:rPr/>
        <w:t xml:space="preserve">Junior </w:t>
      </w:r>
    </w:p>
    <w:p>
      <w:pPr>
        <w:pStyle w:val="TextBody"/>
        <w:numPr>
          <w:ilvl w:val="0"/>
          <w:numId w:val="13"/>
        </w:numPr>
        <w:tabs>
          <w:tab w:val="clear" w:pos="1134"/>
          <w:tab w:val="left" w:pos="707" w:leader="none"/>
        </w:tabs>
        <w:bidi w:val="0"/>
        <w:ind w:start="707" w:hanging="283"/>
        <w:jc w:val="both"/>
        <w:rPr/>
      </w:pPr>
      <w:r>
        <w:rPr/>
        <w:t xml:space="preserve">7-11 </w:t>
      </w:r>
    </w:p>
    <w:p>
      <w:pPr>
        <w:pStyle w:val="TextBody"/>
        <w:bidi w:val="0"/>
        <w:jc w:val="both"/>
        <w:rPr/>
      </w:pPr>
      <w:r>
        <w:rPr/>
        <w:t xml:space="preserve">Primary </w:t>
      </w:r>
    </w:p>
    <w:p>
      <w:pPr>
        <w:pStyle w:val="TextBody"/>
        <w:numPr>
          <w:ilvl w:val="0"/>
          <w:numId w:val="14"/>
        </w:numPr>
        <w:tabs>
          <w:tab w:val="clear" w:pos="1134"/>
          <w:tab w:val="left" w:pos="707" w:leader="none"/>
        </w:tabs>
        <w:bidi w:val="0"/>
        <w:spacing w:before="0" w:after="0"/>
        <w:ind w:start="707" w:hanging="283"/>
        <w:jc w:val="both"/>
        <w:rPr/>
      </w:pPr>
      <w:r>
        <w:rPr/>
        <w:t xml:space="preserve">4-5 </w:t>
      </w:r>
    </w:p>
    <w:p>
      <w:pPr>
        <w:pStyle w:val="TextBody"/>
        <w:numPr>
          <w:ilvl w:val="0"/>
          <w:numId w:val="14"/>
        </w:numPr>
        <w:tabs>
          <w:tab w:val="clear" w:pos="1134"/>
          <w:tab w:val="left" w:pos="707" w:leader="none"/>
        </w:tabs>
        <w:bidi w:val="0"/>
        <w:spacing w:before="0" w:after="0"/>
        <w:ind w:start="707" w:hanging="283"/>
        <w:jc w:val="both"/>
        <w:rPr/>
      </w:pPr>
      <w:r>
        <w:rPr/>
        <w:t xml:space="preserve">5-7 </w:t>
      </w:r>
    </w:p>
    <w:p>
      <w:pPr>
        <w:pStyle w:val="TextBody"/>
        <w:numPr>
          <w:ilvl w:val="0"/>
          <w:numId w:val="14"/>
        </w:numPr>
        <w:tabs>
          <w:tab w:val="clear" w:pos="1134"/>
          <w:tab w:val="left" w:pos="707" w:leader="none"/>
        </w:tabs>
        <w:bidi w:val="0"/>
        <w:ind w:start="707" w:hanging="283"/>
        <w:jc w:val="both"/>
        <w:rPr/>
      </w:pPr>
      <w:r>
        <w:rPr/>
        <w:t xml:space="preserve">7-11 </w:t>
      </w:r>
    </w:p>
    <w:p>
      <w:pPr>
        <w:pStyle w:val="TextBody"/>
        <w:bidi w:val="0"/>
        <w:jc w:val="both"/>
        <w:rPr/>
      </w:pPr>
      <w:r>
        <w:rPr/>
        <w:t xml:space="preserve">Secondary </w:t>
      </w:r>
    </w:p>
    <w:p>
      <w:pPr>
        <w:pStyle w:val="TextBody"/>
        <w:numPr>
          <w:ilvl w:val="0"/>
          <w:numId w:val="15"/>
        </w:numPr>
        <w:tabs>
          <w:tab w:val="clear" w:pos="1134"/>
          <w:tab w:val="left" w:pos="707" w:leader="none"/>
        </w:tabs>
        <w:bidi w:val="0"/>
        <w:spacing w:before="0" w:after="0"/>
        <w:ind w:start="707" w:hanging="283"/>
        <w:jc w:val="both"/>
        <w:rPr/>
      </w:pPr>
      <w:r>
        <w:rPr/>
        <w:t xml:space="preserve">11-14 </w:t>
      </w:r>
    </w:p>
    <w:p>
      <w:pPr>
        <w:pStyle w:val="TextBody"/>
        <w:numPr>
          <w:ilvl w:val="0"/>
          <w:numId w:val="15"/>
        </w:numPr>
        <w:tabs>
          <w:tab w:val="clear" w:pos="1134"/>
          <w:tab w:val="left" w:pos="707" w:leader="none"/>
        </w:tabs>
        <w:bidi w:val="0"/>
        <w:spacing w:before="0" w:after="0"/>
        <w:ind w:start="707" w:hanging="283"/>
        <w:jc w:val="both"/>
        <w:rPr/>
      </w:pPr>
      <w:r>
        <w:rPr/>
        <w:t xml:space="preserve">14-16 </w:t>
      </w:r>
    </w:p>
    <w:p>
      <w:pPr>
        <w:pStyle w:val="TextBody"/>
        <w:numPr>
          <w:ilvl w:val="0"/>
          <w:numId w:val="15"/>
        </w:numPr>
        <w:tabs>
          <w:tab w:val="clear" w:pos="1134"/>
          <w:tab w:val="left" w:pos="707" w:leader="none"/>
        </w:tabs>
        <w:bidi w:val="0"/>
        <w:ind w:start="707" w:hanging="283"/>
        <w:jc w:val="both"/>
        <w:rPr/>
      </w:pPr>
      <w:r>
        <w:rPr/>
        <w:t xml:space="preserve">ay have sixth form </w:t>
      </w:r>
    </w:p>
    <w:p>
      <w:pPr>
        <w:pStyle w:val="TextBody"/>
        <w:bidi w:val="0"/>
        <w:jc w:val="both"/>
        <w:rPr/>
      </w:pPr>
      <w:r>
        <w:rPr/>
        <w:t xml:space="preserve">First </w:t>
      </w:r>
    </w:p>
    <w:p>
      <w:pPr>
        <w:pStyle w:val="TextBody"/>
        <w:numPr>
          <w:ilvl w:val="0"/>
          <w:numId w:val="16"/>
        </w:numPr>
        <w:tabs>
          <w:tab w:val="clear" w:pos="1134"/>
          <w:tab w:val="left" w:pos="707" w:leader="none"/>
        </w:tabs>
        <w:bidi w:val="0"/>
        <w:spacing w:before="0" w:after="0"/>
        <w:ind w:start="707" w:hanging="283"/>
        <w:jc w:val="both"/>
        <w:rPr/>
      </w:pPr>
      <w:r>
        <w:rPr/>
        <w:t xml:space="preserve">4-5 </w:t>
      </w:r>
    </w:p>
    <w:p>
      <w:pPr>
        <w:pStyle w:val="TextBody"/>
        <w:numPr>
          <w:ilvl w:val="0"/>
          <w:numId w:val="16"/>
        </w:numPr>
        <w:tabs>
          <w:tab w:val="clear" w:pos="1134"/>
          <w:tab w:val="left" w:pos="707" w:leader="none"/>
        </w:tabs>
        <w:bidi w:val="0"/>
        <w:spacing w:before="0" w:after="0"/>
        <w:ind w:start="707" w:hanging="283"/>
        <w:jc w:val="both"/>
        <w:rPr/>
      </w:pPr>
      <w:r>
        <w:rPr/>
        <w:t xml:space="preserve">5-7 </w:t>
      </w:r>
    </w:p>
    <w:p>
      <w:pPr>
        <w:pStyle w:val="TextBody"/>
        <w:numPr>
          <w:ilvl w:val="0"/>
          <w:numId w:val="16"/>
        </w:numPr>
        <w:tabs>
          <w:tab w:val="clear" w:pos="1134"/>
          <w:tab w:val="left" w:pos="707" w:leader="none"/>
        </w:tabs>
        <w:bidi w:val="0"/>
        <w:ind w:start="707" w:hanging="283"/>
        <w:jc w:val="both"/>
        <w:rPr/>
      </w:pPr>
      <w:r>
        <w:rPr/>
        <w:t xml:space="preserve">7-8 or 9 </w:t>
      </w:r>
    </w:p>
    <w:p>
      <w:pPr>
        <w:pStyle w:val="TextBody"/>
        <w:bidi w:val="0"/>
        <w:jc w:val="both"/>
        <w:rPr/>
      </w:pPr>
      <w:r>
        <w:rPr/>
        <w:t xml:space="preserve">Middle </w:t>
      </w:r>
    </w:p>
    <w:p>
      <w:pPr>
        <w:pStyle w:val="TextBody"/>
        <w:numPr>
          <w:ilvl w:val="0"/>
          <w:numId w:val="17"/>
        </w:numPr>
        <w:tabs>
          <w:tab w:val="clear" w:pos="1134"/>
          <w:tab w:val="left" w:pos="707" w:leader="none"/>
        </w:tabs>
        <w:bidi w:val="0"/>
        <w:spacing w:before="0" w:after="0"/>
        <w:ind w:start="707" w:hanging="283"/>
        <w:jc w:val="both"/>
        <w:rPr/>
      </w:pPr>
      <w:r>
        <w:rPr/>
        <w:t xml:space="preserve">8 or 9-11 </w:t>
      </w:r>
    </w:p>
    <w:p>
      <w:pPr>
        <w:pStyle w:val="TextBody"/>
        <w:numPr>
          <w:ilvl w:val="0"/>
          <w:numId w:val="17"/>
        </w:numPr>
        <w:tabs>
          <w:tab w:val="clear" w:pos="1134"/>
          <w:tab w:val="left" w:pos="707" w:leader="none"/>
        </w:tabs>
        <w:bidi w:val="0"/>
        <w:ind w:start="707" w:hanging="283"/>
        <w:jc w:val="both"/>
        <w:rPr/>
      </w:pPr>
      <w:r>
        <w:rPr/>
        <w:t xml:space="preserve">11-13 </w:t>
      </w:r>
    </w:p>
    <w:p>
      <w:pPr>
        <w:pStyle w:val="TextBody"/>
        <w:bidi w:val="0"/>
        <w:jc w:val="both"/>
        <w:rPr/>
      </w:pPr>
      <w:r>
        <w:rPr/>
        <w:t xml:space="preserve">Upper </w:t>
      </w:r>
    </w:p>
    <w:p>
      <w:pPr>
        <w:pStyle w:val="TextBody"/>
        <w:numPr>
          <w:ilvl w:val="0"/>
          <w:numId w:val="18"/>
        </w:numPr>
        <w:tabs>
          <w:tab w:val="clear" w:pos="1134"/>
          <w:tab w:val="left" w:pos="707" w:leader="none"/>
        </w:tabs>
        <w:bidi w:val="0"/>
        <w:ind w:start="707" w:hanging="283"/>
        <w:jc w:val="both"/>
        <w:rPr/>
      </w:pPr>
      <w:r>
        <w:rPr/>
        <w:t xml:space="preserve">13-16 </w:t>
      </w:r>
    </w:p>
    <w:p>
      <w:pPr>
        <w:pStyle w:val="TextBody"/>
        <w:bidi w:val="0"/>
        <w:jc w:val="both"/>
        <w:rPr/>
      </w:pPr>
      <w:r>
        <w:rPr/>
        <w:t xml:space="preserve">6th form college </w:t>
      </w:r>
    </w:p>
    <w:p>
      <w:pPr>
        <w:pStyle w:val="TextBody"/>
        <w:numPr>
          <w:ilvl w:val="0"/>
          <w:numId w:val="19"/>
        </w:numPr>
        <w:tabs>
          <w:tab w:val="clear" w:pos="1134"/>
          <w:tab w:val="left" w:pos="707" w:leader="none"/>
        </w:tabs>
        <w:bidi w:val="0"/>
        <w:ind w:start="707" w:hanging="283"/>
        <w:jc w:val="both"/>
        <w:rPr/>
      </w:pPr>
      <w:r>
        <w:rPr/>
        <w:t xml:space="preserve">16-18 </w:t>
      </w:r>
    </w:p>
    <w:p>
      <w:pPr>
        <w:pStyle w:val="TextBody"/>
        <w:bidi w:val="0"/>
        <w:jc w:val="both"/>
        <w:rPr/>
      </w:pPr>
      <w:r>
        <w:rPr/>
        <w:t xml:space="preserve">Special schools </w:t>
      </w:r>
    </w:p>
    <w:p>
      <w:pPr>
        <w:pStyle w:val="TextBody"/>
        <w:numPr>
          <w:ilvl w:val="0"/>
          <w:numId w:val="20"/>
        </w:numPr>
        <w:tabs>
          <w:tab w:val="clear" w:pos="1134"/>
          <w:tab w:val="left" w:pos="707" w:leader="none"/>
        </w:tabs>
        <w:bidi w:val="0"/>
        <w:spacing w:before="0" w:after="0"/>
        <w:ind w:start="707" w:hanging="283"/>
        <w:jc w:val="both"/>
        <w:rPr/>
      </w:pPr>
      <w:r>
        <w:rPr/>
        <w:t xml:space="preserve">all </w:t>
      </w:r>
    </w:p>
    <w:p>
      <w:pPr>
        <w:pStyle w:val="TextBody"/>
        <w:numPr>
          <w:ilvl w:val="0"/>
          <w:numId w:val="20"/>
        </w:numPr>
        <w:tabs>
          <w:tab w:val="clear" w:pos="1134"/>
          <w:tab w:val="left" w:pos="707" w:leader="none"/>
        </w:tabs>
        <w:bidi w:val="0"/>
        <w:spacing w:before="0" w:after="0"/>
        <w:ind w:start="707" w:hanging="283"/>
        <w:jc w:val="both"/>
        <w:rPr/>
      </w:pPr>
      <w:r>
        <w:rPr/>
        <w:t xml:space="preserve">age </w:t>
      </w:r>
    </w:p>
    <w:p>
      <w:pPr>
        <w:pStyle w:val="TextBody"/>
        <w:numPr>
          <w:ilvl w:val="0"/>
          <w:numId w:val="20"/>
        </w:numPr>
        <w:tabs>
          <w:tab w:val="clear" w:pos="1134"/>
          <w:tab w:val="left" w:pos="707" w:leader="none"/>
        </w:tabs>
        <w:bidi w:val="0"/>
        <w:spacing w:before="0" w:after="0"/>
        <w:ind w:start="707" w:hanging="283"/>
        <w:jc w:val="both"/>
        <w:rPr/>
      </w:pPr>
      <w:r>
        <w:rPr/>
        <w:t xml:space="preserve">ranges </w:t>
      </w:r>
    </w:p>
    <w:p>
      <w:pPr>
        <w:pStyle w:val="TextBody"/>
        <w:numPr>
          <w:ilvl w:val="0"/>
          <w:numId w:val="20"/>
        </w:numPr>
        <w:tabs>
          <w:tab w:val="clear" w:pos="1134"/>
          <w:tab w:val="left" w:pos="707" w:leader="none"/>
        </w:tabs>
        <w:bidi w:val="0"/>
        <w:spacing w:before="0" w:after="0"/>
        <w:ind w:start="707" w:hanging="283"/>
        <w:jc w:val="both"/>
        <w:rPr/>
      </w:pPr>
      <w:r>
        <w:rPr/>
        <w:t xml:space="preserve">and </w:t>
      </w:r>
    </w:p>
    <w:p>
      <w:pPr>
        <w:pStyle w:val="TextBody"/>
        <w:numPr>
          <w:ilvl w:val="0"/>
          <w:numId w:val="20"/>
        </w:numPr>
        <w:tabs>
          <w:tab w:val="clear" w:pos="1134"/>
          <w:tab w:val="left" w:pos="707" w:leader="none"/>
        </w:tabs>
        <w:bidi w:val="0"/>
        <w:spacing w:before="0" w:after="283"/>
        <w:ind w:start="707" w:hanging="283"/>
        <w:jc w:val="both"/>
        <w:rPr/>
      </w:pPr>
      <w:r>
        <w:rPr/>
        <w:t xml:space="preserve">stages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https://assignbuster.com/main-types-of-state-and-independent-schools/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Main types of state and independent scho...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8"/>
    <w:lvlOverride w:ilvl="0">
      <w:startOverride w:val="1"/>
    </w:lvlOverride>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Main types of state and independent schools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types of state and independent schools</dc:title>
  <dc:subject>Education;School</dc:subject>
  <dc:creator>AssignBuster</dc:creator>
  <cp:keywords/>
  <dc:description>The LEA are responsible for employing staff and admissions and pupils follow the national curriculum.</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