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"https://assignbuster.com/pestel-analysis-for-digi-essay-sample/"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Pestel analysis for digi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Economics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Political Factor </w:t>
        <w:br/>
        <w:t xml:space="preserve">The politichas been characterized by the relationship between the three main ethical groups. Goverment-controlled incumbent fixed-line operator TM continues to dominate the market , accounting for around 62% of the total communications revenue, 86% of the total fixed line services and revenues and via its celcom subsidiary – 38% of the toal cellular telephone services. The Malaysian government has a very active privatization program. Despite this, a number of major business are ither government controlled o r have government equity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Economical Factor </w:t>
        <w:br/>
        <w:t xml:space="preserve">In recent years Malaysia’s economy has been correlating to the world economy and to the asia economy . A growing economy encourages more investments and more companies to enter the market. Therefore , the better economical conditions the more likely the need for third generation telecommunication infrastructures in the whole of Malaysia . In this few years , even the Malaysia economy was not so good after a decade of high economic growth, the asian financial crisis in 1998 had plunged malaysia into recession. however, during the discoveries time , the major three telecommunication companies digi , celcom and maxis increasingly become stronger and increased the sales , more and more customers in Malaysia buy their telecommunication products and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Factor </w:t>
        <w:br/>
        <w:t xml:space="preserve">The basic values of perceptions, preference and behaviors always the main reason that can affect the telecommunication company product . Nowdays , we can see increasingly using the mobile phone become a society culture even become a personal culture. So , mobile phone gradually becomes a important tool for Malaysians. It is difficult to understand one person preferences and perception because sometimes the person preferences and behavior will change according to social and cultural change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Technological Factor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Malaysia Is not high-technological country, but the main point it is striving to get there . Communication and IT infrastructure is a key element in malaysia’s plans to achieve industrialized nation status by 2020. This creates a huge demand of IT and communication technologies and it will make he Malaysia market and other south-east asian markets even more attractive n the future. Every telecommunication company in Malaysia need and are necessary using to do their business transaction because using advance technology can save the ime and make more accuracy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https://assignbuster.com/pestel-analysis-for-digi-essay-sample/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Pestel analysis for digi essay sample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conom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Pestel analysis for digi essay sample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Pestel analysis for digi essay sample</dc:title>
  <dc:subject>Economics;</dc:subject>
  <dc:creator>AssignBuster</dc:creator>
  <cp:keywords/>
  <dc:description>In this few years, even the Malaysia economy was not so good after a decade of high economic growth, the asian financial crisis in 1998 had plunged ma...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Economics;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