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Umifenovir hydrochloride c22h26brcln2o3s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Bio Activity: </w:t>
      </w:r>
    </w:p>
    <w:tbl>
      <w:tblPr>
        <w:tblW w:w="4089" w:type="dxa"/>
        <w:jc w:val="start"/>
        <w:tblInd w:w="0" w:type="dxa"/>
        <w:tblLayout w:type="fixed"/>
        <w:tblCellMar>
          <w:top w:w="28" w:type="dxa"/>
          <w:start w:w="28" w:type="dxa"/>
          <w:bottom w:w="28" w:type="dxa"/>
          <w:end w:w="28" w:type="dxa"/>
        </w:tblCellMar>
      </w:tblPr>
      <w:tblGrid>
        <w:gridCol w:w="1871"/>
        <w:gridCol w:w="2218"/>
      </w:tblGrid>
      <w:tr>
        <w:trPr/>
        <w:tc>
          <w:tcPr>
            <w:tcW w:w="1871" w:type="dxa"/>
            <w:tcBorders/>
            <w:vAlign w:val="center"/>
          </w:tcPr>
          <w:p>
            <w:pPr>
              <w:pStyle w:val="TableContents"/>
              <w:bidi w:val="0"/>
              <w:spacing w:before="0" w:after="283"/>
              <w:jc w:val="start"/>
              <w:rPr/>
            </w:pPr>
            <w:r>
              <w:rPr/>
              <w:t xml:space="preserve">Molecular Formula </w:t>
            </w:r>
          </w:p>
        </w:tc>
        <w:tc>
          <w:tcPr>
            <w:tcW w:w="2218" w:type="dxa"/>
            <w:tcBorders/>
            <w:vAlign w:val="center"/>
          </w:tcPr>
          <w:p>
            <w:pPr>
              <w:pStyle w:val="TableContents"/>
              <w:bidi w:val="0"/>
              <w:spacing w:before="0" w:after="283"/>
              <w:jc w:val="start"/>
              <w:rPr/>
            </w:pPr>
            <w:r>
              <w:rPr/>
              <w:t xml:space="preserve">C </w:t>
            </w:r>
            <w:r>
              <w:rPr>
                <w:position w:val="-2"/>
                <w:sz w:val="19"/>
              </w:rPr>
              <w:t xml:space="preserve">22 </w:t>
            </w:r>
            <w:r>
              <w:rPr/>
              <w:t xml:space="preserve">H </w:t>
            </w:r>
            <w:r>
              <w:rPr>
                <w:position w:val="-2"/>
                <w:sz w:val="19"/>
              </w:rPr>
              <w:t xml:space="preserve">26 </w:t>
            </w:r>
            <w:r>
              <w:rPr/>
              <w:t xml:space="preserve">BrClN </w:t>
            </w:r>
            <w:r>
              <w:rPr>
                <w:position w:val="-2"/>
                <w:sz w:val="19"/>
              </w:rPr>
              <w:t xml:space="preserve">2 </w:t>
            </w:r>
            <w:r>
              <w:rPr/>
              <w:t xml:space="preserve">O </w:t>
            </w:r>
            <w:r>
              <w:rPr>
                <w:position w:val="-2"/>
                <w:sz w:val="19"/>
              </w:rPr>
              <w:t xml:space="preserve">3 </w:t>
            </w:r>
            <w:r>
              <w:rPr/>
              <w:t xml:space="preserve">S </w:t>
            </w:r>
          </w:p>
        </w:tc>
      </w:tr>
      <w:tr>
        <w:trPr/>
        <w:tc>
          <w:tcPr>
            <w:tcW w:w="1871" w:type="dxa"/>
            <w:tcBorders/>
            <w:vAlign w:val="center"/>
          </w:tcPr>
          <w:p>
            <w:pPr>
              <w:pStyle w:val="TableContents"/>
              <w:bidi w:val="0"/>
              <w:spacing w:before="0" w:after="283"/>
              <w:jc w:val="start"/>
              <w:rPr/>
            </w:pPr>
            <w:r>
              <w:rPr/>
              <w:t xml:space="preserve">Average mass </w:t>
            </w:r>
          </w:p>
        </w:tc>
        <w:tc>
          <w:tcPr>
            <w:tcW w:w="2218" w:type="dxa"/>
            <w:tcBorders/>
            <w:vAlign w:val="center"/>
          </w:tcPr>
          <w:p>
            <w:pPr>
              <w:pStyle w:val="TableContents"/>
              <w:bidi w:val="0"/>
              <w:spacing w:before="0" w:after="283"/>
              <w:jc w:val="start"/>
              <w:rPr/>
            </w:pPr>
            <w:r>
              <w:rPr/>
              <w:t xml:space="preserve">513. 875 Da </w:t>
            </w:r>
          </w:p>
        </w:tc>
      </w:tr>
      <w:tr>
        <w:trPr/>
        <w:tc>
          <w:tcPr>
            <w:tcW w:w="1871" w:type="dxa"/>
            <w:tcBorders/>
            <w:vAlign w:val="center"/>
          </w:tcPr>
          <w:p>
            <w:pPr>
              <w:pStyle w:val="TableContents"/>
              <w:bidi w:val="0"/>
              <w:spacing w:before="0" w:after="283"/>
              <w:jc w:val="start"/>
              <w:rPr/>
            </w:pPr>
            <w:r>
              <w:rPr/>
              <w:t xml:space="preserve">Density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Boiling Point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Flash Point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Molar Refractivity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Polarizability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Surface Tension </w:t>
            </w:r>
          </w:p>
        </w:tc>
        <w:tc>
          <w:tcPr>
            <w:tcW w:w="2218" w:type="dxa"/>
            <w:tcBorders/>
            <w:vAlign w:val="center"/>
          </w:tcPr>
          <w:p>
            <w:pPr>
              <w:pStyle w:val="TableContents"/>
              <w:bidi w:val="0"/>
              <w:spacing w:before="0" w:after="283"/>
              <w:jc w:val="start"/>
              <w:rPr>
                <w:sz w:val="4"/>
                <w:szCs w:val="4"/>
              </w:rPr>
            </w:pPr>
            <w:r>
              <w:rPr>
                <w:sz w:val="4"/>
                <w:szCs w:val="4"/>
              </w:rPr>
            </w:r>
          </w:p>
        </w:tc>
      </w:tr>
      <w:tr>
        <w:trPr/>
        <w:tc>
          <w:tcPr>
            <w:tcW w:w="1871" w:type="dxa"/>
            <w:tcBorders/>
            <w:vAlign w:val="center"/>
          </w:tcPr>
          <w:p>
            <w:pPr>
              <w:pStyle w:val="TableContents"/>
              <w:bidi w:val="0"/>
              <w:spacing w:before="0" w:after="283"/>
              <w:jc w:val="start"/>
              <w:rPr/>
            </w:pPr>
            <w:r>
              <w:rPr/>
              <w:t xml:space="preserve">Molar Volume </w:t>
            </w:r>
          </w:p>
        </w:tc>
        <w:tc>
          <w:tcPr>
            <w:tcW w:w="2218"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2"/>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2"/>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2"/>
        </w:numPr>
        <w:tabs>
          <w:tab w:val="clear" w:pos="1134"/>
          <w:tab w:val="left" w:pos="709" w:leader="none"/>
        </w:tabs>
        <w:bidi w:val="0"/>
        <w:ind w:start="709" w:hanging="283"/>
        <w:jc w:val="start"/>
        <w:rPr/>
      </w:pPr>
      <w:r>
        <w:rPr/>
        <w:t xml:space="preserve">Predicted – ChemAxon </w:t>
      </w:r>
    </w:p>
    <w:p>
      <w:pPr>
        <w:pStyle w:val="TextBody"/>
        <w:numPr>
          <w:ilvl w:val="0"/>
          <w:numId w:val="3"/>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3"/>
        </w:numPr>
        <w:tabs>
          <w:tab w:val="clear" w:pos="1134"/>
          <w:tab w:val="left" w:pos="1418" w:leader="none"/>
        </w:tabs>
        <w:bidi w:val="0"/>
        <w:ind w:start="1418" w:hanging="283"/>
        <w:jc w:val="start"/>
        <w:rPr/>
      </w:pPr>
      <w:r>
        <w:rPr/>
        <w:t xml:space="preserve">Experimental Melting Point: </w:t>
      </w:r>
    </w:p>
    <w:tbl>
      <w:tblPr>
        <w:tblW w:w="2671" w:type="dxa"/>
        <w:jc w:val="start"/>
        <w:tblInd w:w="1418" w:type="dxa"/>
        <w:tblLayout w:type="fixed"/>
        <w:tblCellMar>
          <w:top w:w="28" w:type="dxa"/>
          <w:start w:w="28" w:type="dxa"/>
          <w:bottom w:w="28" w:type="dxa"/>
          <w:end w:w="28" w:type="dxa"/>
        </w:tblCellMar>
      </w:tblPr>
      <w:tblGrid>
        <w:gridCol w:w="2671"/>
      </w:tblGrid>
      <w:tr>
        <w:trPr/>
        <w:tc>
          <w:tcPr>
            <w:tcW w:w="2671" w:type="dxa"/>
            <w:tcBorders/>
            <w:vAlign w:val="center"/>
          </w:tcPr>
          <w:p>
            <w:pPr>
              <w:pStyle w:val="TableContents"/>
              <w:bidi w:val="0"/>
              <w:spacing w:before="0" w:after="283"/>
              <w:jc w:val="start"/>
              <w:rPr/>
            </w:pPr>
            <w:r>
              <w:rPr/>
              <w:t xml:space="preserve">133 °CBiosynthJ-501287 </w:t>
            </w:r>
          </w:p>
        </w:tc>
      </w:tr>
      <w:tr>
        <w:trPr/>
        <w:tc>
          <w:tcPr>
            <w:tcW w:w="2671" w:type="dxa"/>
            <w:tcBorders/>
            <w:vAlign w:val="center"/>
          </w:tcPr>
          <w:p>
            <w:pPr>
              <w:pStyle w:val="TableContents"/>
              <w:bidi w:val="0"/>
              <w:spacing w:before="0" w:after="283"/>
              <w:jc w:val="start"/>
              <w:rPr/>
            </w:pPr>
            <w:r>
              <w:rPr/>
              <w:t xml:space="preserve">133-137 °C (Decomposes)LabNetworkLN00191929 </w:t>
            </w:r>
          </w:p>
        </w:tc>
      </w:tr>
    </w:tbl>
    <w:p>
      <w:pPr>
        <w:pStyle w:val="Heading2"/>
        <w:numPr>
          <w:ilvl w:val="1"/>
          <w:numId w:val="3"/>
        </w:numPr>
        <w:tabs>
          <w:tab w:val="clear" w:pos="1134"/>
          <w:tab w:val="left" w:pos="1418" w:leader="none"/>
        </w:tabs>
        <w:bidi w:val="0"/>
        <w:ind w:start="1418" w:hanging="283"/>
        <w:jc w:val="start"/>
        <w:rPr/>
      </w:pPr>
      <w:r>
        <w:rPr/>
        <w:t xml:space="preserve">Experimental Solubility: </w:t>
      </w:r>
    </w:p>
    <w:tbl>
      <w:tblPr>
        <w:tblW w:w="2671" w:type="dxa"/>
        <w:jc w:val="start"/>
        <w:tblInd w:w="1418" w:type="dxa"/>
        <w:tblLayout w:type="fixed"/>
        <w:tblCellMar>
          <w:top w:w="28" w:type="dxa"/>
          <w:start w:w="28" w:type="dxa"/>
          <w:bottom w:w="28" w:type="dxa"/>
          <w:end w:w="28" w:type="dxa"/>
        </w:tblCellMar>
      </w:tblPr>
      <w:tblGrid>
        <w:gridCol w:w="2671"/>
      </w:tblGrid>
      <w:tr>
        <w:trPr/>
        <w:tc>
          <w:tcPr>
            <w:tcW w:w="2671" w:type="dxa"/>
            <w:tcBorders/>
            <w:vAlign w:val="center"/>
          </w:tcPr>
          <w:p>
            <w:pPr>
              <w:pStyle w:val="TableContents"/>
              <w:bidi w:val="0"/>
              <w:spacing w:before="0" w:after="283"/>
              <w:jc w:val="start"/>
              <w:rPr/>
            </w:pPr>
            <w:r>
              <w:rPr/>
              <w:t xml:space="preserve">DMSO 48 mg/mlMedChem ExpressHY-14904A </w:t>
            </w:r>
          </w:p>
        </w:tc>
      </w:tr>
      <w:tr>
        <w:trPr/>
        <w:tc>
          <w:tcPr>
            <w:tcW w:w="2671" w:type="dxa"/>
            <w:tcBorders/>
            <w:vAlign w:val="center"/>
          </w:tcPr>
          <w:p>
            <w:pPr>
              <w:pStyle w:val="TableContents"/>
              <w:bidi w:val="0"/>
              <w:spacing w:before="0" w:after="283"/>
              <w:jc w:val="start"/>
              <w:rPr/>
            </w:pPr>
            <w:r>
              <w:rPr/>
              <w:t xml:space="preserve">in DMSO &gt; 10 mMMedChem ExpressHY-14904A </w:t>
            </w:r>
          </w:p>
        </w:tc>
      </w:tr>
    </w:tbl>
    <w:p>
      <w:pPr>
        <w:pStyle w:val="TextBody"/>
        <w:numPr>
          <w:ilvl w:val="0"/>
          <w:numId w:val="3"/>
        </w:numPr>
        <w:tabs>
          <w:tab w:val="clear" w:pos="1134"/>
          <w:tab w:val="left" w:pos="709" w:leader="none"/>
        </w:tabs>
        <w:bidi w:val="0"/>
        <w:spacing w:before="0" w:after="0"/>
        <w:ind w:start="709" w:hanging="283"/>
        <w:jc w:val="start"/>
        <w:rPr/>
      </w:pPr>
      <w:r>
        <w:rPr/>
        <w:t xml:space="preserve">Miscellaneous </w:t>
      </w:r>
    </w:p>
    <w:p>
      <w:pPr>
        <w:pStyle w:val="Heading2"/>
        <w:numPr>
          <w:ilvl w:val="1"/>
          <w:numId w:val="3"/>
        </w:numPr>
        <w:tabs>
          <w:tab w:val="clear" w:pos="1134"/>
          <w:tab w:val="left" w:pos="1418" w:leader="none"/>
        </w:tabs>
        <w:bidi w:val="0"/>
        <w:ind w:start="1418" w:hanging="283"/>
        <w:jc w:val="start"/>
        <w:rPr/>
      </w:pPr>
      <w:r>
        <w:rPr/>
        <w:t xml:space="preserve">Safety: </w:t>
      </w:r>
    </w:p>
    <w:tbl>
      <w:tblPr>
        <w:tblW w:w="3661" w:type="dxa"/>
        <w:jc w:val="start"/>
        <w:tblInd w:w="1418" w:type="dxa"/>
        <w:tblLayout w:type="fixed"/>
        <w:tblCellMar>
          <w:top w:w="28" w:type="dxa"/>
          <w:start w:w="28" w:type="dxa"/>
          <w:bottom w:w="28" w:type="dxa"/>
          <w:end w:w="28" w:type="dxa"/>
        </w:tblCellMar>
      </w:tblPr>
      <w:tblGrid>
        <w:gridCol w:w="3661"/>
      </w:tblGrid>
      <w:tr>
        <w:trPr/>
        <w:tc>
          <w:tcPr>
            <w:tcW w:w="3661" w:type="dxa"/>
            <w:tcBorders/>
            <w:vAlign w:val="center"/>
          </w:tcPr>
          <w:p>
            <w:pPr>
              <w:pStyle w:val="TableContents"/>
              <w:bidi w:val="0"/>
              <w:spacing w:before="0" w:after="283"/>
              <w:jc w:val="start"/>
              <w:rPr/>
            </w:pPr>
            <w:r>
              <w:rPr/>
              <w:t xml:space="preserve">IRRITANTMatrix Scientific092967 </w:t>
            </w:r>
          </w:p>
        </w:tc>
      </w:tr>
    </w:tbl>
    <w:p>
      <w:pPr>
        <w:pStyle w:val="Heading2"/>
        <w:numPr>
          <w:ilvl w:val="1"/>
          <w:numId w:val="3"/>
        </w:numPr>
        <w:tabs>
          <w:tab w:val="clear" w:pos="1134"/>
          <w:tab w:val="left" w:pos="1418" w:leader="none"/>
        </w:tabs>
        <w:bidi w:val="0"/>
        <w:ind w:start="1418" w:hanging="283"/>
        <w:jc w:val="start"/>
        <w:rPr/>
      </w:pPr>
      <w:r>
        <w:rPr/>
        <w:t xml:space="preserve">Bio Activity: </w:t>
      </w:r>
    </w:p>
    <w:tbl>
      <w:tblPr>
        <w:tblW w:w="2671" w:type="dxa"/>
        <w:jc w:val="start"/>
        <w:tblInd w:w="1418" w:type="dxa"/>
        <w:tblLayout w:type="fixed"/>
        <w:tblCellMar>
          <w:top w:w="28" w:type="dxa"/>
          <w:start w:w="28" w:type="dxa"/>
          <w:bottom w:w="28" w:type="dxa"/>
          <w:end w:w="28" w:type="dxa"/>
        </w:tblCellMar>
      </w:tblPr>
      <w:tblGrid>
        <w:gridCol w:w="2671"/>
      </w:tblGrid>
      <w:tr>
        <w:trPr/>
        <w:tc>
          <w:tcPr>
            <w:tcW w:w="2671" w:type="dxa"/>
            <w:tcBorders/>
            <w:vAlign w:val="center"/>
          </w:tcPr>
          <w:p>
            <w:pPr>
              <w:pStyle w:val="TableContents"/>
              <w:bidi w:val="0"/>
              <w:spacing w:before="0" w:after="283"/>
              <w:jc w:val="start"/>
              <w:rPr/>
            </w:pPr>
            <w:r>
              <w:rPr/>
              <w:t xml:space="preserve">Anti-infectionMedChem ExpressHY-14904A </w:t>
            </w:r>
          </w:p>
        </w:tc>
      </w:tr>
      <w:tr>
        <w:trPr/>
        <w:tc>
          <w:tcPr>
            <w:tcW w:w="2671" w:type="dxa"/>
            <w:tcBorders/>
            <w:vAlign w:val="center"/>
          </w:tcPr>
          <w:p>
            <w:pPr>
              <w:pStyle w:val="TableContents"/>
              <w:bidi w:val="0"/>
              <w:spacing w:before="0" w:after="283"/>
              <w:jc w:val="start"/>
              <w:rPr/>
            </w:pPr>
            <w:r>
              <w:rPr/>
              <w:t xml:space="preserve">Anti-infection; MedChem ExpressHY-14904A </w:t>
            </w:r>
          </w:p>
        </w:tc>
      </w:tr>
      <w:tr>
        <w:trPr/>
        <w:tc>
          <w:tcPr>
            <w:tcW w:w="2671" w:type="dxa"/>
            <w:tcBorders/>
            <w:vAlign w:val="center"/>
          </w:tcPr>
          <w:p>
            <w:pPr>
              <w:pStyle w:val="TableContents"/>
              <w:bidi w:val="0"/>
              <w:spacing w:before="0" w:after="283"/>
              <w:jc w:val="start"/>
              <w:rPr/>
            </w:pPr>
            <w:r>
              <w:rPr/>
              <w:t xml:space="preserve">Arbidol (Umifenovir) hydrochloride is an broad-spectrum antiviral chemical agent which can inhibit cell entry of enveloped viruses by blocking viral fusion with host cell membraneMedChem Express </w:t>
            </w:r>
          </w:p>
        </w:tc>
      </w:tr>
      <w:tr>
        <w:trPr/>
        <w:tc>
          <w:tcPr>
            <w:tcW w:w="2671" w:type="dxa"/>
            <w:tcBorders/>
            <w:vAlign w:val="center"/>
          </w:tcPr>
          <w:p>
            <w:pPr>
              <w:pStyle w:val="TableContents"/>
              <w:bidi w:val="0"/>
              <w:spacing w:before="0" w:after="283"/>
              <w:jc w:val="start"/>
              <w:rPr/>
            </w:pPr>
            <w:r>
              <w:rPr/>
              <w:t xml:space="preserve">Arbidol (Umifenovir) hydrochloride is an broad-spectrum antiviral chemical agent which can inhibit cell entry of enveloped viruses by blocking viral fusion with host cell membrane; IC50 value:; Target: Antiviral; Anti-influenza agent; in vitro: Arbidol was found to present potent inhibitory activity against enveloped and non-enveloped RNA viruses, including FLU-A, RSV, HRV 14 and CVB3 when added before, during, or after viral infection, with 50% inhibitory concentration (IC50) ranging from 2. 7 to 13. 8 microg/ml. However, arbidol showed selective antiviral activity against AdV-7, a DNA virus, only when added after infection (therapeutic index (TI) = 5. 5) [1]. MedChem ExpressHY-14904A </w:t>
            </w:r>
          </w:p>
        </w:tc>
      </w:tr>
      <w:tr>
        <w:trPr/>
        <w:tc>
          <w:tcPr>
            <w:tcW w:w="2671" w:type="dxa"/>
            <w:tcBorders/>
            <w:vAlign w:val="center"/>
          </w:tcPr>
          <w:p>
            <w:pPr>
              <w:pStyle w:val="TableContents"/>
              <w:bidi w:val="0"/>
              <w:spacing w:before="0" w:after="283"/>
              <w:jc w:val="start"/>
              <w:rPr/>
            </w:pPr>
            <w:r>
              <w:rPr/>
              <w:t xml:space="preserve">Arbidol (Umifenovir) hydrochloride is an broad-spectrum antiviral chemical agent which can inhibit cell entry of enveloped viruses by blocking viral fusion with host cell membrane; IC50 value:; Target: Antiviral; Anti-influenza agent; In vitro: Arbidol was found to present potent inhibitory activity against enveloped and non-enveloped RNA viruses, including FLU-A, RSV, HRV 14 and CVB3 when added before, during, or after viral infection, with 50% inhibitory concentration (IC50) ranging from 2. 7 to 13. 8 microg/ml. However, arbidol showed selective antiviral activity against AdV-7, a DNA virus, only when added after infection (therapeutic index (TI) = 5. 5) [1]. Arb interacts with the polar head-group of phospholipid at the membrane interface. Fluorescence studies of interactions between Arb and either tryptophan derivatives or membrane peptides reconstituted into liposomes show that Arb interacts with tryptophan in the micromolar range. Interestingly, apparent binding affinities between lMedChem ExpressHY-14904A </w:t>
            </w:r>
          </w:p>
        </w:tc>
      </w:tr>
      <w:tr>
        <w:trPr/>
        <w:tc>
          <w:tcPr>
            <w:tcW w:w="2671" w:type="dxa"/>
            <w:tcBorders/>
            <w:vAlign w:val="center"/>
          </w:tcPr>
          <w:p>
            <w:pPr>
              <w:pStyle w:val="TableContents"/>
              <w:bidi w:val="0"/>
              <w:spacing w:before="0" w:after="283"/>
              <w:jc w:val="start"/>
              <w:rPr/>
            </w:pPr>
            <w:r>
              <w:rPr/>
              <w:t xml:space="preserve">Influenza VirusMedChem ExpressHY-14904A </w:t>
            </w:r>
          </w:p>
        </w:tc>
      </w:tr>
    </w:tbl>
    <w:p>
      <w:pPr>
        <w:pStyle w:val="TextBody"/>
        <w:bidi w:val="0"/>
        <w:jc w:val="start"/>
        <w:rPr/>
      </w:pPr>
      <w:r>
        <w:rPr/>
        <w:t xml:space="preserve">Predicted data is generated using the ACD/Labs Percepta Platform – PhysChem Module </w:t>
      </w:r>
    </w:p>
    <w:p>
      <w:pPr>
        <w:pStyle w:val="TextBody"/>
        <w:bidi w:val="0"/>
        <w:spacing w:before="0" w:after="283"/>
        <w:jc w:val="start"/>
        <w:rPr/>
      </w:pPr>
      <w:r>
        <w:rPr/>
        <w:t xml:space="preserve">No predicted properties have been calculated for this compound.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3863"/>
        <w:gridCol w:w="225"/>
      </w:tblGrid>
      <w:tr>
        <w:trPr/>
        <w:tc>
          <w:tcPr>
            <w:tcW w:w="3863" w:type="dxa"/>
            <w:tcBorders/>
            <w:vAlign w:val="center"/>
          </w:tcPr>
          <w:p>
            <w:pPr>
              <w:pStyle w:val="TableContents"/>
              <w:bidi w:val="0"/>
              <w:spacing w:before="0" w:after="283"/>
              <w:jc w:val="start"/>
              <w:rPr/>
            </w:pPr>
            <w:r>
              <w:rPr/>
              <w:t xml:space="preserve">Density: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Boiling Point: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Vapour Pressure: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Enthalpy of Vaporization: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Flash Point: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Index of Refraction: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Molar Refractivity: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#H bond acceptors: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#H bond donors: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#Freely Rotating Bonds: </w:t>
            </w:r>
          </w:p>
        </w:tc>
        <w:tc>
          <w:tcPr>
            <w:tcW w:w="225" w:type="dxa"/>
            <w:tcBorders/>
            <w:vAlign w:val="center"/>
          </w:tcPr>
          <w:p>
            <w:pPr>
              <w:pStyle w:val="TableContents"/>
              <w:bidi w:val="0"/>
              <w:spacing w:before="0" w:after="283"/>
              <w:jc w:val="start"/>
              <w:rPr>
                <w:sz w:val="4"/>
                <w:szCs w:val="4"/>
              </w:rPr>
            </w:pPr>
            <w:r>
              <w:rPr>
                <w:sz w:val="4"/>
                <w:szCs w:val="4"/>
              </w:rPr>
            </w:r>
          </w:p>
        </w:tc>
      </w:tr>
      <w:tr>
        <w:trPr/>
        <w:tc>
          <w:tcPr>
            <w:tcW w:w="3863" w:type="dxa"/>
            <w:tcBorders/>
            <w:vAlign w:val="center"/>
          </w:tcPr>
          <w:p>
            <w:pPr>
              <w:pStyle w:val="TableContents"/>
              <w:bidi w:val="0"/>
              <w:spacing w:before="0" w:after="283"/>
              <w:jc w:val="start"/>
              <w:rPr/>
            </w:pPr>
            <w:r>
              <w:rPr/>
              <w:t xml:space="preserve">#Rule of 5 Violations: </w:t>
            </w:r>
          </w:p>
        </w:tc>
        <w:tc>
          <w:tcPr>
            <w:tcW w:w="225" w:type="dxa"/>
            <w:tcBorders/>
            <w:vAlign w:val="center"/>
          </w:tcPr>
          <w:p>
            <w:pPr>
              <w:pStyle w:val="TableContents"/>
              <w:bidi w:val="0"/>
              <w:spacing w:before="0" w:after="283"/>
              <w:jc w:val="start"/>
              <w:rPr>
                <w:sz w:val="4"/>
                <w:szCs w:val="4"/>
              </w:rPr>
            </w:pPr>
            <w:r>
              <w:rPr>
                <w:sz w:val="4"/>
                <w:szCs w:val="4"/>
              </w:rPr>
            </w:r>
          </w:p>
        </w:tc>
      </w:tr>
    </w:tbl>
    <w:tbl>
      <w:tblPr>
        <w:tblW w:w="5000" w:type="pct"/>
        <w:jc w:val="start"/>
        <w:tblInd w:w="0" w:type="dxa"/>
        <w:tblLayout w:type="fixed"/>
        <w:tblCellMar>
          <w:top w:w="28" w:type="dxa"/>
          <w:start w:w="28" w:type="dxa"/>
          <w:bottom w:w="28" w:type="dxa"/>
          <w:end w:w="28" w:type="dxa"/>
        </w:tblCellMar>
      </w:tblPr>
      <w:tblGrid>
        <w:gridCol w:w="3835"/>
        <w:gridCol w:w="253"/>
      </w:tblGrid>
      <w:tr>
        <w:trPr/>
        <w:tc>
          <w:tcPr>
            <w:tcW w:w="3835" w:type="dxa"/>
            <w:tcBorders/>
            <w:vAlign w:val="center"/>
          </w:tcPr>
          <w:p>
            <w:pPr>
              <w:pStyle w:val="TableContents"/>
              <w:bidi w:val="0"/>
              <w:spacing w:before="0" w:after="283"/>
              <w:jc w:val="start"/>
              <w:rPr/>
            </w:pPr>
            <w:r>
              <w:rPr/>
              <w:t xml:space="preserve">ACD/LogP: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ACD/LogD (pH 5. 5):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ACD/BCF (pH 5. 5):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ACD/KOC (pH 5. 5):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ACD/LogD (pH 7. 4):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ACD/BCF (pH 7. 4):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ACD/KOC (pH 7. 4):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Polar Surface Area: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Polarizability: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Surface Tension: </w:t>
            </w:r>
          </w:p>
        </w:tc>
        <w:tc>
          <w:tcPr>
            <w:tcW w:w="253" w:type="dxa"/>
            <w:tcBorders/>
            <w:vAlign w:val="center"/>
          </w:tcPr>
          <w:p>
            <w:pPr>
              <w:pStyle w:val="TableContents"/>
              <w:bidi w:val="0"/>
              <w:spacing w:before="0" w:after="283"/>
              <w:jc w:val="start"/>
              <w:rPr>
                <w:sz w:val="4"/>
                <w:szCs w:val="4"/>
              </w:rPr>
            </w:pPr>
            <w:r>
              <w:rPr>
                <w:sz w:val="4"/>
                <w:szCs w:val="4"/>
              </w:rPr>
            </w:r>
          </w:p>
        </w:tc>
      </w:tr>
      <w:tr>
        <w:trPr/>
        <w:tc>
          <w:tcPr>
            <w:tcW w:w="3835" w:type="dxa"/>
            <w:tcBorders/>
            <w:vAlign w:val="center"/>
          </w:tcPr>
          <w:p>
            <w:pPr>
              <w:pStyle w:val="TableContents"/>
              <w:bidi w:val="0"/>
              <w:spacing w:before="0" w:after="283"/>
              <w:jc w:val="start"/>
              <w:rPr/>
            </w:pPr>
            <w:r>
              <w:rPr/>
              <w:t xml:space="preserve">Molar Volume: </w:t>
            </w:r>
          </w:p>
        </w:tc>
        <w:tc>
          <w:tcPr>
            <w:tcW w:w="253"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https://assignbuster.com/umifenovir-hydrochloride-c22h26brcln2o3s-structure/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Umifenovir hydrochloride c22h26brcln2o3s...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mifenovir-hydrochloride-c22h26brcln2o3s-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Umifenovir hydrochloride c22h26brcln2o3s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Umifenovir hydrochloride c22h26brcln2o3s structure</dc:title>
  <dc:subject>Others;</dc:subject>
  <dc:creator>AssignBuster</dc:creator>
  <cp:keywords/>
  <dc:description>Density: Boiling Point: Vapour Pressure: Enthalpy of Vaporization: Flash Point: Index of Refraction: Molar Refractivity:#H bond acceptors:#H bond dono...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