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"https://assignbuster.com/corrigendum-rag-defects-and-thymic-stroma-lessons-from-animal-models/"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rag defects and thymic stroma: lessons from animal models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Rag defects and thymic stroma: lessons from animal models </w:t>
          <w:br/>
        </w:r>
        <w:r>
          <w:rPr>
            <w:rStyle w:val="a8"/>
            <w:i/>
          </w:rPr>
          <w:t xml:space="preserve">by Marrella V, Poliani PL, Notarangelo LD, Grassi F, Villa A. Front Immunol (2014) 5: 259. doi: 10. 3389/fimmu. 2014. 00259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list for the article “ Rag defects and thymic stroma: lessons from animal models” should be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Veronica Marrella </w:t>
      </w:r>
      <w:r>
        <w:rPr>
          <w:position w:val="8"/>
          <w:sz w:val="19"/>
        </w:rPr>
        <w:t xml:space="preserve">1, 2 </w:t>
      </w:r>
      <w:r>
        <w:rPr/>
        <w:t xml:space="preserve">, Pietro Luigi Poliani </w:t>
      </w:r>
      <w:r>
        <w:rPr>
          <w:position w:val="8"/>
          <w:sz w:val="19"/>
        </w:rPr>
        <w:t xml:space="preserve">3 </w:t>
      </w:r>
      <w:r>
        <w:rPr/>
        <w:t xml:space="preserve">, Luigi Daniele Notarangelo </w:t>
      </w:r>
      <w:r>
        <w:rPr>
          <w:position w:val="8"/>
          <w:sz w:val="19"/>
        </w:rPr>
        <w:t xml:space="preserve">4 </w:t>
      </w:r>
      <w:r>
        <w:rPr/>
        <w:t xml:space="preserve">, Fabio Grassi </w:t>
      </w:r>
      <w:r>
        <w:rPr>
          <w:position w:val="8"/>
          <w:sz w:val="19"/>
        </w:rPr>
        <w:t xml:space="preserve">5 </w:t>
      </w:r>
      <w:r>
        <w:rPr/>
        <w:t xml:space="preserve">, and Anna Villa </w:t>
      </w:r>
      <w:r>
        <w:rPr>
          <w:position w:val="8"/>
          <w:sz w:val="19"/>
        </w:rPr>
        <w:t xml:space="preserve">1, 2 </w:t>
      </w: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1 </w:t>
      </w:r>
      <w:r>
        <w:rPr/>
        <w:t xml:space="preserve">Milan Unit, Institute of Genetics and Biomedic Research, National Research Council, Milan, Italy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2 </w:t>
      </w:r>
      <w:r>
        <w:rPr/>
        <w:t xml:space="preserve">Istituto Clinico Humanitas, Istituto di Ricovero e Cura a Carattere Scientifico, Rozzano, Italy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3 </w:t>
      </w:r>
      <w:r>
        <w:rPr/>
        <w:t xml:space="preserve">Pathology Unit, Department of Molecular and Translational Medicine, University of Brescia, Brescia, Italy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4 </w:t>
      </w:r>
      <w:r>
        <w:rPr/>
        <w:t xml:space="preserve">Division of Immunology, Boston Children’s Hospital, Boston, MA, USA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5 </w:t>
      </w:r>
      <w:r>
        <w:rPr/>
        <w:t xml:space="preserve">Institute for Research in Biomedicine, Bellinzona, Switzerland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https://assignbuster.com/corrigendum-rag-defects-and-thymic-stroma-lessons-from-animal-models/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rag defects and thymic stro...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Journal/10.3389/fimmu.2014.00259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rag defects and thymic stroma: lessons from animal models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rag defects and thymic stroma: lessons from animal models</dc:title>
  <dc:subject>Health &amp; Medicine;</dc:subject>
  <dc:creator>AssignBuster</dc:creator>
  <cp:keywords/>
  <dc:description>00259 Author list for the article " Rag defects and thymic stroma: lessons from animal models" should be as follows: Veronica Marrella 1, 2, Pietro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