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Anaerobic infections: causes and treatment</w:t>
        </w:r>
      </w:hyperlink>
      <w:bookmarkEnd w:id="0"/>
    </w:p>
    <w:p>
      <w:r>
        <w:br w:type="page"/>
      </w:r>
    </w:p>
    <w:tbl>
      <w:tblPr>
        <w:tblW w:w="3363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3"/>
      </w:tblGrid>
      <w:tr>
        <w:trPr/>
        <w:tc>
          <w:tcPr>
            <w:tcW w:w="336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Lean Hendrik Swanepoel </w:t>
            </w:r>
          </w:p>
        </w:tc>
      </w:tr>
    </w:tbl>
    <w:p>
      <w:pPr>
        <w:pStyle w:val="Heading3"/>
        <w:bidi w:val="0"/>
        <w:jc w:val="start"/>
        <w:rPr/>
      </w:pPr>
      <w:r>
        <w:rPr/>
        <w:t xml:space="preserve">Contents (Jump to)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pBdr/>
        <w:bidi w:val="0"/>
        <w:jc w:val="start"/>
        <w:rPr/>
      </w:pPr>
      <w:r>
        <w:rPr/>
        <w:t xml:space="preserve">Symptoms </w:t>
      </w:r>
    </w:p>
    <w:p>
      <w:pPr>
        <w:pStyle w:val="TextBody"/>
        <w:pBdr/>
        <w:bidi w:val="0"/>
        <w:jc w:val="start"/>
        <w:rPr/>
      </w:pPr>
      <w:r>
        <w:rPr/>
        <w:t xml:space="preserve">Causes </w:t>
      </w:r>
    </w:p>
    <w:p>
      <w:pPr>
        <w:pStyle w:val="TextBody"/>
        <w:pBdr/>
        <w:bidi w:val="0"/>
        <w:jc w:val="start"/>
        <w:rPr/>
      </w:pPr>
      <w:r>
        <w:rPr/>
        <w:t xml:space="preserve">Pathophysiology </w:t>
      </w:r>
    </w:p>
    <w:p>
      <w:pPr>
        <w:pStyle w:val="TextBody"/>
        <w:pBdr/>
        <w:bidi w:val="0"/>
        <w:jc w:val="start"/>
        <w:rPr/>
      </w:pPr>
      <w:r>
        <w:rPr/>
        <w:t xml:space="preserve">Diagnosis </w:t>
      </w:r>
    </w:p>
    <w:p>
      <w:pPr>
        <w:pStyle w:val="TextBody"/>
        <w:pBdr/>
        <w:bidi w:val="0"/>
        <w:jc w:val="start"/>
        <w:rPr/>
      </w:pPr>
      <w:r>
        <w:rPr/>
        <w:t xml:space="preserve">Prevention </w:t>
      </w:r>
    </w:p>
    <w:p>
      <w:pPr>
        <w:pStyle w:val="TextBody"/>
        <w:pBdr/>
        <w:bidi w:val="0"/>
        <w:jc w:val="start"/>
        <w:rPr/>
      </w:pPr>
      <w:r>
        <w:rPr/>
        <w:t xml:space="preserve">Treatment </w:t>
      </w:r>
    </w:p>
    <w:p>
      <w:pPr>
        <w:pStyle w:val="TextBody"/>
        <w:pBdr/>
        <w:bidi w:val="0"/>
        <w:jc w:val="start"/>
        <w:rPr/>
      </w:pPr>
      <w:r>
        <w:rPr/>
        <w:t xml:space="preserve">Prognosis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Epidemiology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</w:p>
    <w:p>
      <w:pPr>
        <w:pStyle w:val="Heading3"/>
        <w:bidi w:val="0"/>
        <w:jc w:val="start"/>
        <w:rPr/>
      </w:pPr>
      <w:r>
        <w:rPr/>
        <w:t xml:space="preserve">INTRODUCTION: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infections; these common infections are caused by the most common, natural occurring organism found in and on the human body – anaerobic bacteria.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natural state they are harmless, and only cause infection as a result of injury or body trauma. The infections commonly occur/affect the genitals, bone, heart, abdomen, joints, respiratory tract, mouth, skin and the central nervous system </w:t>
      </w:r>
      <w:r>
        <w:rPr>
          <w:rStyle w:val="Emphasis"/>
        </w:rPr>
        <w:t xml:space="preserve">(CNS)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infections are often difficult to treat and are therefore a cause for concern. Common infections include: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Abscess.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Appendicitis.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Lemierre’s syndrome.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Periodontitis.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Peritonitis.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Pneumonia.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Sinusitis.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Tetanus. </w:t>
      </w:r>
    </w:p>
    <w:p>
      <w:pPr>
        <w:pStyle w:val="Heading3"/>
        <w:bidi w:val="0"/>
        <w:jc w:val="start"/>
        <w:rPr/>
      </w:pPr>
      <w:r>
        <w:rPr/>
        <w:t xml:space="preserve">CONTENTS: </w:t>
      </w:r>
    </w:p>
    <w:p>
      <w:pPr>
        <w:pStyle w:val="Heading4"/>
        <w:bidi w:val="0"/>
        <w:jc w:val="start"/>
        <w:rPr/>
      </w:pPr>
      <w:r>
        <w:rPr/>
        <w:t xml:space="preserve">SYMPTOMS: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symptoms that suggest the presence of an anaerobic infection include: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Discoloration of infected area.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Gangrene.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Infection near the skin.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Pus-filled abscesses.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Smelly discharge.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Tissue damage. </w:t>
      </w:r>
    </w:p>
    <w:p>
      <w:pPr>
        <w:pStyle w:val="TextBody"/>
        <w:bidi w:val="0"/>
        <w:jc w:val="start"/>
        <w:rPr/>
      </w:pPr>
      <w:r>
        <w:rPr/>
        <w:t xml:space="preserve">Other symptoms are location specific depending on where the infection is in the body: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Cough and chest pain – caused by lung infections.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Redness, pain and swelling – caused by skin infections.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Tender gums, pain and bad breath – caused by mouth and throat infections. </w:t>
      </w:r>
    </w:p>
    <w:p>
      <w:pPr>
        <w:pStyle w:val="Heading4"/>
        <w:bidi w:val="0"/>
        <w:jc w:val="start"/>
        <w:rPr/>
      </w:pPr>
      <w:r>
        <w:rPr/>
        <w:t xml:space="preserve">CAUSES: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infections are caused when deeper tissues of the body are either exposed to the outside environment or injured.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Injury; bites, trauma and/or surgery – root canals – are the more common ways to acquire the bacteria. Patients with weak immune systems, low blood supply and diabetes are at a higher risk of infection. </w:t>
      </w:r>
    </w:p>
    <w:p>
      <w:pPr>
        <w:pStyle w:val="Heading4"/>
        <w:bidi w:val="0"/>
        <w:jc w:val="start"/>
        <w:rPr/>
      </w:pPr>
      <w:r>
        <w:rPr/>
        <w:t xml:space="preserve">PATHOPHYSIOLOGY: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break in the mucocutaneus barrier – skin or any epithelial exposed to the external environment – resulting in the disturbance of the local tissues and allows easy access to the anaerobic bacteria.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 is caused when endogenous bacteria are leaked from the site of entry to the adjacent tissues; spreading the infection. </w:t>
      </w:r>
    </w:p>
    <w:p>
      <w:pPr>
        <w:pStyle w:val="Heading4"/>
        <w:bidi w:val="0"/>
        <w:jc w:val="start"/>
        <w:rPr/>
      </w:pPr>
      <w:r>
        <w:rPr/>
        <w:t xml:space="preserve">DIAGNOSIS: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bacteria are relatively difficult to diagnose, but time can be spared if the physician can recognize certain clinical signs.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of anaerobic infections generally follows two </w:t>
      </w:r>
      <w:r>
        <w:rPr>
          <w:rStyle w:val="Emphasis"/>
        </w:rPr>
        <w:t xml:space="preserve">(2) </w:t>
      </w:r>
      <w:r>
        <w:rPr/>
        <w:t xml:space="preserve">steps; one </w:t>
      </w:r>
      <w:r>
        <w:rPr>
          <w:rStyle w:val="Emphasis"/>
        </w:rPr>
        <w:t xml:space="preserve">(1) </w:t>
      </w:r>
      <w:r>
        <w:rPr/>
        <w:t xml:space="preserve">a physical examination performed by the doctor and two, laboratory tests done on the infected tissue to help identify the bacteria 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physical exam the doctor looks for common anaerobic infection symptoms and asks about or observes predisposing conditions – low blood supply and tissue necrosis – that favor the growth of anaerobic bacteria. Therefore; malignancy, trauma, edema, foreign bodies, surgery, colitis, shock and vascular disease – which all lower the blood supply to parts of the body, can be seen as a predisposing conditions. An X-ray may be needed for internal infections. </w:t>
      </w:r>
    </w:p>
    <w:p>
      <w:pPr>
        <w:pStyle w:val="Heading4"/>
        <w:bidi w:val="0"/>
        <w:jc w:val="start"/>
        <w:rPr/>
      </w:pPr>
      <w:r>
        <w:rPr/>
        <w:t xml:space="preserve">PREVENTION: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proper prevention anaerobic infections are easy to avoid; whether the infection occurs in the oral cavity, on the skin/soft tissues or has a chance of presenting itself during surgery.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During surgery; Proper antimicrobial prophylaxis reduces the risk/chance of infection.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Oral; Improve oral hygiene.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Lower the stomach pH – this can aid in the prevention of aspiration pneumonia.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Constantly rid the mouth of oral secretions.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Skin and soft tissue; Flush and clean out the open wound and necrotic tissue.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Constantly drain pus from the area.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Increase the blood supply to the area. </w:t>
      </w:r>
    </w:p>
    <w:p>
      <w:pPr>
        <w:pStyle w:val="Heading4"/>
        <w:bidi w:val="0"/>
        <w:jc w:val="start"/>
        <w:rPr/>
      </w:pPr>
      <w:r>
        <w:rPr/>
        <w:t xml:space="preserve">TREATMENT: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Antibiotics and other medications coupled with drainage of the infection site; is the most common treatment for anaerobic infections. In other cases surgery is required to remove the infection and/or abscess.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slow growth of the bacteria, treatment for the infection is delayed – because diagnosis of the bacteria can only occur after several days in the laboratory. </w:t>
      </w:r>
    </w:p>
    <w:p>
      <w:pPr>
        <w:pStyle w:val="Heading4"/>
        <w:bidi w:val="0"/>
        <w:jc w:val="start"/>
        <w:rPr/>
      </w:pPr>
      <w:r>
        <w:rPr/>
        <w:t xml:space="preserve">PROGNOSIS: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 treated quickly or properly, infections caused by anaerobic bacteria are serious and can lead to death. However, most patients – who receive proper treatment – often make a full recovery. </w:t>
      </w:r>
    </w:p>
    <w:p>
      <w:pPr>
        <w:pStyle w:val="Heading2"/>
        <w:bidi w:val="0"/>
        <w:jc w:val="start"/>
        <w:rPr/>
      </w:pPr>
      <w:r>
        <w:rPr/>
        <w:t xml:space="preserve">EPIDEMIOLOGY: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anaerobic infections are caused by normal, everyday anaerobic bacteria found in and around your body. These infections – a stated above; under the </w:t>
      </w:r>
      <w:r>
        <w:rPr>
          <w:rStyle w:val="Emphasis"/>
        </w:rPr>
        <w:t xml:space="preserve">CAUSE </w:t>
      </w:r>
      <w:r>
        <w:rPr/>
        <w:t xml:space="preserve">heading – are caused when these bacteria either contaminate a sterile body site or enter the body from an external source; cuts, scraps, bites and contamination of wounds. A patient whose immune system is compromised has a higher risk of contamination/infection.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these factors at hand, anaerobic infections can lead to epidemics in a majority of places – from hospitals to schools – as the bacteria can be passed from one individual to the next through touch on an open wound. </w:t>
      </w:r>
    </w:p>
    <w:tbl>
      <w:tblPr>
        <w:tblW w:w="127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71"/>
        <w:gridCol w:w="3103"/>
        <w:gridCol w:w="1114"/>
        <w:gridCol w:w="2771"/>
        <w:gridCol w:w="2220"/>
        <w:gridCol w:w="2300"/>
      </w:tblGrid>
      <w:tr>
        <w:trPr/>
        <w:tc>
          <w:tcPr>
            <w:tcW w:w="1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NAME </w:t>
            </w:r>
          </w:p>
        </w:tc>
        <w:tc>
          <w:tcPr>
            <w:tcW w:w="31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CHARACTERISTICS </w:t>
            </w:r>
          </w:p>
        </w:tc>
        <w:tc>
          <w:tcPr>
            <w:tcW w:w="1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</w:t>
            </w:r>
          </w:p>
        </w:tc>
        <w:tc>
          <w:tcPr>
            <w:tcW w:w="27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SYMPTOMS 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</w:t>
            </w:r>
          </w:p>
        </w:tc>
        <w:tc>
          <w:tcPr>
            <w:tcW w:w="2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PREVENTION </w:t>
            </w:r>
          </w:p>
        </w:tc>
      </w:tr>
      <w:tr>
        <w:trPr/>
        <w:tc>
          <w:tcPr>
            <w:tcW w:w="1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Clostridia </w:t>
            </w:r>
          </w:p>
        </w:tc>
        <w:tc>
          <w:tcPr>
            <w:tcW w:w="310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Obligate anaerobes.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positive.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Rod-shaped.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Capable of producing endospores.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Commonly found in aquatic sediments. </w:t>
            </w:r>
          </w:p>
        </w:tc>
        <w:tc>
          <w:tcPr>
            <w:tcW w:w="1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Clostridium tetani </w:t>
            </w:r>
          </w:p>
        </w:tc>
        <w:tc>
          <w:tcPr>
            <w:tcW w:w="310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Obligate anaerobes.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Heat sensitive.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This anaerobe is found in soil and as parasites in the gastrointestinal tracts </w:t>
            </w:r>
            <w:r>
              <w:rPr>
                <w:rStyle w:val="Emphasis"/>
              </w:rPr>
              <w:t xml:space="preserve">(GIT) </w:t>
            </w:r>
            <w:r>
              <w:rPr/>
              <w:t xml:space="preserve">of animals.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The endospores produced by these bacteria are antiseptic, chemical agent and heat resistant – can survive autoclaving at 121C for 10-15min.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The endospores are prevalent in manure treated soils and on human skin. </w:t>
            </w:r>
          </w:p>
        </w:tc>
        <w:tc>
          <w:tcPr>
            <w:tcW w:w="1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Tetanus </w:t>
            </w:r>
          </w:p>
        </w:tc>
        <w:tc>
          <w:tcPr>
            <w:tcW w:w="2771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symptoms depend on what type of tetanus the patient has;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Local: persistent muscle contraction in region of injury.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Generalized: lockjaw, elevated blood pressure, sweating, elevated temperature, rapid episodic heart rate, spasms continue for 3-4 weeks.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Neonatal: born without passive immunity. 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Control of muscle spasms.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Antitoxins; stop the toxin production and neutralize its effects.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Antibiotics. </w:t>
            </w:r>
          </w:p>
        </w:tc>
        <w:tc>
          <w:tcPr>
            <w:tcW w:w="230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Rigorous hygienic response to injury. </w:t>
            </w:r>
          </w:p>
          <w:p>
            <w:pPr>
              <w:pStyle w:val="TableContents"/>
              <w:numPr>
                <w:ilvl w:val="0"/>
                <w:numId w:val="6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Vaccinations. </w:t>
            </w:r>
          </w:p>
        </w:tc>
      </w:tr>
    </w:tbl>
    <w:tbl>
      <w:tblPr>
        <w:tblW w:w="127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92"/>
        <w:gridCol w:w="2848"/>
        <w:gridCol w:w="1587"/>
        <w:gridCol w:w="2083"/>
        <w:gridCol w:w="2125"/>
        <w:gridCol w:w="2844"/>
      </w:tblGrid>
      <w:tr>
        <w:trPr/>
        <w:tc>
          <w:tcPr>
            <w:tcW w:w="12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NAME </w:t>
            </w:r>
          </w:p>
        </w:tc>
        <w:tc>
          <w:tcPr>
            <w:tcW w:w="28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CHARACTERISTICS </w:t>
            </w:r>
          </w:p>
        </w:tc>
        <w:tc>
          <w:tcPr>
            <w:tcW w:w="15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</w:t>
            </w:r>
          </w:p>
        </w:tc>
        <w:tc>
          <w:tcPr>
            <w:tcW w:w="20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SYMPTOMS 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</w:t>
            </w:r>
          </w:p>
        </w:tc>
        <w:tc>
          <w:tcPr>
            <w:tcW w:w="28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PREVENTION </w:t>
            </w:r>
          </w:p>
        </w:tc>
      </w:tr>
      <w:tr>
        <w:trPr/>
        <w:tc>
          <w:tcPr>
            <w:tcW w:w="12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Clostridium botulinum </w:t>
            </w:r>
          </w:p>
        </w:tc>
        <w:tc>
          <w:tcPr>
            <w:tcW w:w="284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Heat resistant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Found in soil, sediments of lakes, ponds, coastal waters, decaying vegetation, and the GIT of birds, mammals and fish.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Usually seen in canned foods </w:t>
            </w:r>
          </w:p>
        </w:tc>
        <w:tc>
          <w:tcPr>
            <w:tcW w:w="15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Botulism; when foods are ingested that has spores either growing or germinating in. </w:t>
            </w:r>
          </w:p>
        </w:tc>
        <w:tc>
          <w:tcPr>
            <w:tcW w:w="2083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The symptoms start to present themselves 8-36 hours after ingestion.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Weakness.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Dizziness.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Dryness of the mouth.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Nausea.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Vomiting. 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Antitoxin in circulation. </w:t>
            </w:r>
          </w:p>
        </w:tc>
        <w:tc>
          <w:tcPr>
            <w:tcW w:w="284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Proper food handling and preparation – 80°C for +10mins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Add salt or nitrites to products to reduce the growth of the bacteria. </w:t>
            </w:r>
          </w:p>
        </w:tc>
      </w:tr>
      <w:tr>
        <w:trPr/>
        <w:tc>
          <w:tcPr>
            <w:tcW w:w="12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Clostridium perfringens </w:t>
            </w:r>
          </w:p>
        </w:tc>
        <w:tc>
          <w:tcPr>
            <w:tcW w:w="284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positive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Rod-shaped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Non-motile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Found in soils, sediments, human and animal GIT’s as well as their feces.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Optimal growth is between 42. 78 C – 47. 22 C </w:t>
            </w:r>
            <w:r>
              <w:rPr>
                <w:rStyle w:val="Emphasis"/>
              </w:rPr>
              <w:t xml:space="preserve">(109-117°F). </w:t>
            </w:r>
          </w:p>
        </w:tc>
        <w:tc>
          <w:tcPr>
            <w:tcW w:w="15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Cellulitis and Gas Gangrene. </w:t>
            </w:r>
          </w:p>
        </w:tc>
        <w:tc>
          <w:tcPr>
            <w:tcW w:w="208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Stomach aches, diarrhea and vomiting.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Mistaken for the “ 24 hour” flu. 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Penicillin and other antibiotics are used for gas gangrene.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Surgery is used for cases in which severe tissue damages occur.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Keep hydrated. </w:t>
            </w:r>
          </w:p>
        </w:tc>
        <w:tc>
          <w:tcPr>
            <w:tcW w:w="284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Handling foods properly, especially meats – maintain raw meats at very low temperatures &lt;4. 44 C </w:t>
            </w:r>
            <w:r>
              <w:rPr>
                <w:rStyle w:val="Emphasis"/>
              </w:rPr>
              <w:t xml:space="preserve">(&lt;40° F). </w:t>
            </w:r>
          </w:p>
          <w:p>
            <w:pPr>
              <w:pStyle w:val="TableContents"/>
              <w:numPr>
                <w:ilvl w:val="0"/>
                <w:numId w:val="7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Use correct temperatures when cooking and cooling food – heating the food to 73. 89 C </w:t>
            </w:r>
            <w:r>
              <w:rPr>
                <w:rStyle w:val="Emphasis"/>
              </w:rPr>
              <w:t xml:space="preserve">(165° F) </w:t>
            </w:r>
            <w:r>
              <w:rPr/>
              <w:t xml:space="preserve">kills bacteria, but it must be cooled quickly and reheated to again 165° F. </w:t>
            </w:r>
          </w:p>
        </w:tc>
      </w:tr>
    </w:tbl>
    <w:tbl>
      <w:tblPr>
        <w:tblW w:w="127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53"/>
        <w:gridCol w:w="2341"/>
        <w:gridCol w:w="2011"/>
        <w:gridCol w:w="2058"/>
        <w:gridCol w:w="2373"/>
        <w:gridCol w:w="2043"/>
      </w:tblGrid>
      <w:tr>
        <w:trPr/>
        <w:tc>
          <w:tcPr>
            <w:tcW w:w="19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NAME 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CHARACTERISTICS </w:t>
            </w:r>
          </w:p>
        </w:tc>
        <w:tc>
          <w:tcPr>
            <w:tcW w:w="2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SYMPTOMS </w:t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</w:t>
            </w:r>
          </w:p>
        </w:tc>
        <w:tc>
          <w:tcPr>
            <w:tcW w:w="20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PREVENTION </w:t>
            </w:r>
          </w:p>
        </w:tc>
      </w:tr>
      <w:tr>
        <w:trPr/>
        <w:tc>
          <w:tcPr>
            <w:tcW w:w="1953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Other clostridial diseases: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>
                <w:rStyle w:val="Emphasis"/>
              </w:rPr>
              <w:t xml:space="preserve">Clostridium difficile 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Gram-positive.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Anaerobic.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Spore-forming.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Rod shaped.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Resistant to most antibiotics.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Found in soils, marine sediments and the GIT of humans and animals. </w:t>
            </w:r>
          </w:p>
        </w:tc>
        <w:tc>
          <w:tcPr>
            <w:tcW w:w="2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Pseudomembranous Colitis 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Abdominal pain.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Dehydration.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Diarrhea.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Fever.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Tachycardia; rapid heart rate.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Toxic mega-colon; increased abdominal pain, abdominal bloating, abdominal tenderness. </w:t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ind w:start="707" w:hanging="283"/>
              <w:jc w:val="start"/>
              <w:rPr/>
            </w:pPr>
            <w:r>
              <w:rPr/>
              <w:t xml:space="preserve">Fecal Bacteriotherapy; infusion of bacterial flora </w:t>
            </w:r>
            <w:r>
              <w:rPr>
                <w:rStyle w:val="Emphasis"/>
              </w:rPr>
              <w:t xml:space="preserve">(Probiotics), </w:t>
            </w:r>
            <w:r>
              <w:rPr/>
              <w:t xml:space="preserve">acquired from the feces of a healthy donor to combat the bacterial imbalance as a result of the infection. </w:t>
            </w:r>
          </w:p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Two specific antibiotics can be used as treatment; Metronidazole and Vancomycin. </w:t>
            </w:r>
          </w:p>
        </w:tc>
        <w:tc>
          <w:tcPr>
            <w:tcW w:w="2043" w:type="dxa"/>
            <w:tcBorders/>
            <w:vAlign w:val="center"/>
          </w:tcPr>
          <w:p>
            <w:pPr>
              <w:pStyle w:val="TableContents"/>
              <w:numPr>
                <w:ilvl w:val="0"/>
                <w:numId w:val="8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Stay healthy; taking a daily multivitamin as well as eating a diet that is balanced and nutritious. Exercising daily and washing your hands regularly are also advised. </w:t>
            </w:r>
          </w:p>
        </w:tc>
      </w:tr>
    </w:tbl>
    <w:tbl>
      <w:tblPr>
        <w:tblW w:w="127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01"/>
        <w:gridCol w:w="2349"/>
        <w:gridCol w:w="6710"/>
        <w:gridCol w:w="2319"/>
      </w:tblGrid>
      <w:tr>
        <w:trPr/>
        <w:tc>
          <w:tcPr>
            <w:tcW w:w="14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NAME </w:t>
            </w:r>
          </w:p>
        </w:tc>
        <w:tc>
          <w:tcPr>
            <w:tcW w:w="234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CHARACTERISTICS </w:t>
            </w:r>
          </w:p>
        </w:tc>
        <w:tc>
          <w:tcPr>
            <w:tcW w:w="6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&amp; PREVENTION </w:t>
            </w:r>
          </w:p>
        </w:tc>
      </w:tr>
      <w:tr>
        <w:trPr/>
        <w:tc>
          <w:tcPr>
            <w:tcW w:w="14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Non-spore forming anaerobes </w:t>
            </w:r>
          </w:p>
        </w:tc>
        <w:tc>
          <w:tcPr>
            <w:tcW w:w="2349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4 categories exist; 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Positive: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Bacilli.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Cocci. 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Negative: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Bacilli.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283"/>
              <w:ind w:start="1414" w:hanging="283"/>
              <w:jc w:val="start"/>
              <w:rPr/>
            </w:pPr>
            <w:r>
              <w:rPr/>
              <w:t xml:space="preserve">Cocci. </w:t>
            </w:r>
          </w:p>
        </w:tc>
        <w:tc>
          <w:tcPr>
            <w:tcW w:w="671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Positive bacilli;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Actinomyces spp.; actinomycosis.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Propionibacterium spp.; acne, lacrimal canaliculitis and opportunistic infections.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Mobiluncus spp.; bacterial vaginosis and opportunistic infections.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Lactobacillus spp.; endocarditis and opportunistic infections.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Eubacterium spp. and bifidobacterium spp.; opportunistic infections. 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Positive cocci;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0"/>
              <w:ind w:start="1414" w:hanging="283"/>
              <w:jc w:val="start"/>
              <w:rPr/>
            </w:pPr>
            <w:r>
              <w:rPr/>
              <w:t xml:space="preserve">Peptostreptococcus; brain abscess, sinusitis, endocarditis, pleuropulmonary infection, osteomyelitis, intrabdominal infection, pelvic infection and soft tissue infections. </w:t>
            </w:r>
          </w:p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0"/>
              <w:ind w:start="707" w:hanging="283"/>
              <w:jc w:val="start"/>
              <w:rPr/>
            </w:pPr>
            <w:r>
              <w:rPr/>
              <w:t xml:space="preserve">Gram Negative; </w:t>
            </w:r>
          </w:p>
          <w:p>
            <w:pPr>
              <w:pStyle w:val="TableContents"/>
              <w:numPr>
                <w:ilvl w:val="1"/>
                <w:numId w:val="9"/>
              </w:numPr>
              <w:tabs>
                <w:tab w:val="clear" w:pos="1134"/>
                <w:tab w:val="left" w:pos="1414" w:leader="none"/>
              </w:tabs>
              <w:bidi w:val="0"/>
              <w:spacing w:before="0" w:after="283"/>
              <w:ind w:start="1414" w:hanging="283"/>
              <w:jc w:val="start"/>
              <w:rPr/>
            </w:pPr>
            <w:r>
              <w:rPr/>
              <w:t xml:space="preserve">Chronic sinusitis, chronic otitis, periodontal diseases, brain abscess, pleuropulmonary infections, intraabdominal infections, pelvic inflammatory disease, pelvic abscesses, endometritis, gynecological wound infections, skin and soft tissue infections, bacteremia. 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TableContents"/>
              <w:numPr>
                <w:ilvl w:val="0"/>
                <w:numId w:val="9"/>
              </w:numPr>
              <w:tabs>
                <w:tab w:val="clear" w:pos="1134"/>
                <w:tab w:val="left" w:pos="707" w:leader="none"/>
              </w:tabs>
              <w:bidi w:val="0"/>
              <w:spacing w:before="0" w:after="283"/>
              <w:ind w:start="707" w:hanging="283"/>
              <w:jc w:val="start"/>
              <w:rPr/>
            </w:pPr>
            <w:r>
              <w:rPr/>
              <w:t xml:space="preserve">Antibiotics treatment; Trospectomycin </w:t>
            </w:r>
          </w:p>
        </w:tc>
      </w:tr>
    </w:tbl>
    <w:p>
      <w:pPr>
        <w:pStyle w:val="Heading3"/>
        <w:bidi w:val="0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Infections | Definition and Patient Education. 2014. </w:t>
      </w:r>
      <w:r>
        <w:rPr>
          <w:rStyle w:val="Emphasis"/>
        </w:rPr>
        <w:t xml:space="preserve">Anaerobic Infections | Definition and Patient Education </w:t>
      </w:r>
      <w:r>
        <w:rPr/>
        <w:t xml:space="preserve">. [ONLINE] Available at: http://www. healthline. com/health/anaerobic-infections#Overview1. [Accessed 02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Pathophysiology, clinical clues, and recovery of organisms in anaerobic infections. 2014. </w:t>
      </w:r>
      <w:r>
        <w:rPr>
          <w:rStyle w:val="Emphasis"/>
        </w:rPr>
        <w:t xml:space="preserve">Pathophysiology, clinical clues, and recovery of organisms in anaerobic infections </w:t>
      </w:r>
      <w:r>
        <w:rPr/>
        <w:t xml:space="preserve">. [ONLINE] Available at: http://www. uptodate. com/contents/pathophysiology-clinical-clues-and-recovery-of-organisms-in-anaerobic-infections. [Accessed 02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Inkling. 2014. </w:t>
      </w:r>
      <w:r>
        <w:rPr>
          <w:rStyle w:val="Emphasis"/>
        </w:rPr>
        <w:t xml:space="preserve">Inkling </w:t>
      </w:r>
      <w:r>
        <w:rPr/>
        <w:t xml:space="preserve">. [ONLINE] Available at: https://www. inkling. com/read/cohen-infectious-diseases-3rd/chapter-173/chapter173-reader-2. [Accessed 02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Medscape: Medscape Access. 2014. </w:t>
      </w:r>
      <w:r>
        <w:rPr>
          <w:rStyle w:val="Emphasis"/>
        </w:rPr>
        <w:t xml:space="preserve">Medscape: Medscape Access </w:t>
      </w:r>
      <w:r>
        <w:rPr/>
        <w:t xml:space="preserve">. [ONLINE] Available at: http://www. medscape. com/viewarticle/495997_3. [Accessed 02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Anaerobic Infections: Treatment and Prevention of Anaerobic Infections. 2014. </w:t>
      </w:r>
      <w:r>
        <w:rPr>
          <w:rStyle w:val="Emphasis"/>
        </w:rPr>
        <w:t xml:space="preserve">Anaerobic Infections: Treatment and Prevention of Anaerobic Infections </w:t>
      </w:r>
      <w:r>
        <w:rPr/>
        <w:t xml:space="preserve">. [ONLINE] Available at: http://anaerobicinfections. blogspot. com/p/treatment-prevention. html. [Accessed 07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HowStuffWorks “ Preventing Colitis”. 2014. </w:t>
      </w:r>
      <w:r>
        <w:rPr>
          <w:rStyle w:val="Emphasis"/>
        </w:rPr>
        <w:t xml:space="preserve">HowStuffWorks “ Preventing Colitis” </w:t>
      </w:r>
      <w:r>
        <w:rPr/>
        <w:t xml:space="preserve">. [ONLINE] Available at: http://health. howstuffworks. com/wellness/preventive-care/how-to-prevent-viral-infections2. htm. [Accessed 10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BSCI 424 Pathogenic Microbiology — Non-Spore Forming Anaerobes. 2014. </w:t>
      </w:r>
      <w:r>
        <w:rPr>
          <w:rStyle w:val="Emphasis"/>
        </w:rPr>
        <w:t xml:space="preserve">BSCI 424 Pathogenic Microbiology — Non-Spore Forming Anaerobes </w:t>
      </w:r>
      <w:r>
        <w:rPr/>
        <w:t xml:space="preserve">. [ONLINE] Available at: http://www. life. umd. edu/classroom/bsci424/pathogendescriptions/NonSporeFormingAnaerobes. htm. [Accessed 10 July 2014].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Jawetz, Melnic &amp; Adelbergs . (2004 ). Non-spore Forming Anaerobic Bacteria. </w:t>
      </w:r>
      <w:r>
        <w:rPr>
          <w:rStyle w:val="Emphasis"/>
        </w:rPr>
        <w:t xml:space="preserve">Medical Microbiology </w:t>
      </w:r>
      <w:r>
        <w:rPr/>
        <w:t xml:space="preserve">. United States of America: The McGrawhill Companies. [Accessed 10 July 2014]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https://assignbuster.com/anaerobic-infections-causes-and-treatment/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Anaerobic infections: causes and treatme...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6">
    <w:abstractNumId w:val="5"/>
  </w:num>
  <w:num w:numId="6">
    <w:abstractNumId w:val="5"/>
  </w:num>
  <w:num w:numId="6">
    <w:abstractNumId w:val="5"/>
  </w:num>
  <w:num w:numId="6">
    <w:abstractNumId w:val="5"/>
  </w:num>
  <w:num w:numId="6">
    <w:abstractNumId w:val="5"/>
  </w:num>
  <w:num w:numId="7">
    <w:abstractNumId w:val="6"/>
  </w:num>
  <w:num w:numId="7">
    <w:abstractNumId w:val="6"/>
  </w:num>
  <w:num w:numId="7">
    <w:abstractNumId w:val="6"/>
  </w:num>
  <w:num w:numId="7">
    <w:abstractNumId w:val="6"/>
  </w:num>
  <w:num w:numId="7">
    <w:abstractNumId w:val="6"/>
  </w:num>
  <w:num w:numId="7">
    <w:abstractNumId w:val="6"/>
  </w:num>
  <w:num w:numId="7">
    <w:abstractNumId w:val="6"/>
  </w:num>
  <w:num w:numId="7">
    <w:abstractNumId w:val="6"/>
  </w:num>
  <w:num w:numId="8">
    <w:abstractNumId w:val="7"/>
  </w:num>
  <w:num w:numId="8">
    <w:abstractNumId w:val="7"/>
  </w:num>
  <w:num w:numId="8">
    <w:abstractNumId w:val="7"/>
  </w:num>
  <w:num w:numId="8">
    <w:abstractNumId w:val="7"/>
  </w:num>
  <w:num w:numId="8">
    <w:abstractNumId w:val="7"/>
  </w:num>
  <w:num w:numId="8">
    <w:abstractNumId w:val="7"/>
  </w:num>
  <w:num w:numId="9">
    <w:abstractNumId w:val="8"/>
  </w:num>
  <w:num w:numId="9">
    <w:abstractNumId w:val="8"/>
  </w:num>
  <w:num w:numId="9">
    <w:abstractNumId w:val="8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ableContents">
    <w:name w:val="Table Contents"/>
    <w:basedOn w:val="TextBody"/>
    <w:qFormat/>
    <w:pPr/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erobic-infections-causes-and-trea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Anaerobic infections: causes and treatment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Anaerobic infections: causes and treatment</dc:title>
  <dc:subject>Others;</dc:subject>
  <dc:creator>AssignBuster</dc:creator>
  <cp:keywords/>
  <dc:description>A break in the mucocutaneus barrier skin or any epithelial exposed to the external environment resulting in the disturbance of the local tissues and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