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With should be holders of decrees for the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With regard to the distribution of the proceeds of sale the section provides: “ Where any immovable property is sold in execution of a decree ordering its sale for the discharge of an in cumbrance thereon, the proceedings of sale shall be applied— Firstly, in defraying the expenses of the sale; Secondly, in discharging the amount due under the decree; Thirdly, in discharging the interest and principal moneys due on subsequent in cumbrances (if any); and Fourthly, rateably among the holders of decrees for the payment of money against the judgment-debtor, who have, prior to sale of the property, applied to the court which passed the decree ordering such sale for execution of such decrees, and have not obtained satisfaction thereof?” </w:t>
      </w:r>
    </w:p>
    <w:p>
      <w:pPr>
        <w:pStyle w:val="Heading4"/>
        <w:bidi w:val="0"/>
        <w:jc w:val="start"/>
        <w:rPr/>
      </w:pPr>
      <w:r>
        <w:rPr/>
        <w:t xml:space="preserve">Necessary conditions: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reading of the section it is manifest that the following conditions must be present to entitle a decree-holder to participate in the assets of a judgment-debtor: (1) The decree-holder claiming to share in the rateable distribution should have applied for execution to the court which holds the assets; (2) Such application should have been made before the receipt of assets held by the court; (3) The assets of which rateable distribution is claimed must be assets held by the court; (4) The attaching creditor as well as the decree-holder claiming to participate in the assets should be holders of decrees for the payment of money; and (5) Such decree should have been obtained against the same judgment-debtor. The essential conditions for the application of S. 73 are: (1) The assets must be held the court; (2) The decrees obtained by the decree-holder and the attaching creditor must be decrees for payment of money; (3) Such decree should have been obtained against the same judgment-debtor; (4) The creditor claiming rateable distribution must have applied for execution to the court by which assets are held; and (5) Such an application must have been made before the assets are received by court. (Bharat Paint Mart v. Bhagwati Devi, 1961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L. J. 964). It has been held that where the holder of a decree against two or more persons applies for a rateable distribution of the assists realized from the property belonging to one of such persons, the application is one for the execution of the decree against the same judgment-debtor. A decree against a partner and a decree against him in his individual capacity are decrees against the same judgment-debtor, but a decree against a firm and a decree against a partner in his individual capacity are not against the same judgment-debtor.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https://assignbuster.com/with-should-be-holders-of-decrees-for-the/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With should be holders of decrees for th...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th-should-be-holders-of-decrees-for-t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With should be holders of decrees for the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should be holders of decrees for the</dc:title>
  <dc:subject>Others;</dc:subject>
  <dc:creator>AssignBuster</dc:creator>
  <cp:keywords/>
  <dc:description>With regard to the distribution of the proceeds of sale the section provides: " Where any immovable property is sold in execution of a decree orderin...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