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"https://assignbuster.com/corrigendum-the-use-of-subscores-in-higher-education-when-is-this-useful/"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the use of subscores in higher education: when is this useful?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The Use of Subscores in Higher Education: When Is This Useful? </w:t>
        </w:r>
      </w:hyperlink>
    </w:p>
    <w:p>
      <w:pPr>
        <w:pStyle w:val="TextBody"/>
        <w:bidi w:val="0"/>
        <w:jc w:val="start"/>
        <w:rPr>
          <w:i/>
        </w:rPr>
      </w:pPr>
      <w:r>
        <w:rPr>
          <w:i/>
        </w:rPr>
        <w:t xml:space="preserve">by Meijer, R. R., Boevé, A. J., Tendeiro, J. N., Bosker, R. J., and Albers, C. J. (2017). Front. Psychol. 8: 305. doi: 10. 3389/fpsyg. 2017. 00305 </w:t>
      </w:r>
    </w:p>
    <w:p>
      <w:pPr>
        <w:pStyle w:val="TextBody"/>
        <w:bidi w:val="0"/>
        <w:spacing w:before="0" w:after="283"/>
        <w:jc w:val="start"/>
        <w:rPr/>
      </w:pPr>
      <w:r>
        <w:rPr/>
        <w:t xml:space="preserve">In the original article, there was an error: There were a couple of incorrect numbers. </w:t>
      </w:r>
    </w:p>
    <w:p>
      <w:pPr>
        <w:pStyle w:val="TextBody"/>
        <w:bidi w:val="0"/>
        <w:spacing w:before="0" w:after="283"/>
        <w:jc w:val="start"/>
        <w:rPr/>
      </w:pPr>
      <w:r>
        <w:rPr/>
        <w:t xml:space="preserve">A correction has been made to the RESULTS section Paragraph 2. </w:t>
      </w:r>
    </w:p>
    <w:p>
      <w:pPr>
        <w:pStyle w:val="TextBody"/>
        <w:bidi w:val="0"/>
        <w:spacing w:before="0" w:after="283"/>
        <w:jc w:val="start"/>
        <w:rPr/>
      </w:pPr>
      <w:r>
        <w:rPr/>
        <w:t xml:space="preserve">Note that the changes had no further effect on any conclusions. </w:t>
      </w:r>
    </w:p>
    <w:p>
      <w:pPr>
        <w:pStyle w:val="TextBody"/>
        <w:bidi w:val="0"/>
        <w:spacing w:before="0" w:after="283"/>
        <w:jc w:val="start"/>
        <w:rPr/>
      </w:pPr>
      <w:hyperlink w:anchor="B1">
        <w:r>
          <w:rPr>
            <w:rStyle w:val="a8"/>
          </w:rPr>
          <w:t xml:space="preserve">Sinharay (2010) </w:t>
        </w:r>
      </w:hyperlink>
      <w:r>
        <w:rPr/>
        <w:t xml:space="preserve">for example, reported an average operational subtest reliability of 0. 38 for subtests with an average of 19 items. The PRMSE in estimating the true subtest score from the observed total score (PRMSE </w:t>
      </w:r>
      <w:r>
        <w:rPr>
          <w:i/>
          <w:position w:val="-2"/>
          <w:sz w:val="19"/>
        </w:rPr>
        <w:t xml:space="preserve">x </w:t>
      </w:r>
      <w:r>
        <w:rPr/>
        <w:t xml:space="preserve">) was 0. 80 for both the conceptual subtest and the factual knowledge subtest. </w:t>
      </w:r>
    </w:p>
    <w:p>
      <w:pPr>
        <w:pStyle w:val="TextBody"/>
        <w:bidi w:val="0"/>
        <w:spacing w:before="0" w:after="283"/>
        <w:jc w:val="start"/>
        <w:rPr/>
      </w:pPr>
      <w:r>
        <w:rPr/>
        <w:t xml:space="preserve">The original article has been updated.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Sinharay, S. (2010). How often do subscores have added value? Results from operational and simulated data. </w:t>
      </w:r>
      <w:r>
        <w:rPr>
          <w:i/>
        </w:rPr>
        <w:t xml:space="preserve">J. Educ. Meas. </w:t>
      </w:r>
      <w:r>
        <w:rPr/>
        <w:t xml:space="preserve">47, 150–174. doi: 10. 1111/j. 1745-3984. 2010. 00106. x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https://assignbuster.com/corrigendum-the-use-of-subscores-in-higher-education-when-is-this-useful/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the use of subscores in hig...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7.00305" TargetMode="External"/><Relationship Id="rId16" Type="http://schemas.openxmlformats.org/officeDocument/2006/relationships/hyperlink" Target="https://doi.org/10.1111/j.1745-3984.2010.00106.x" TargetMode="External"/><Relationship Id="rId17" Type="http://schemas.openxmlformats.org/officeDocument/2006/relationships/hyperlink" Target="http://scholar.google.com/scholar_lookup?author=S.+Sinharay+&amp;publication_year=2010&amp;title=How+often+do+subscores+have+added+value%3F+Results+from+operational+and+simulated+data&amp;journal=J.+Educ.+Meas.&amp;volume=47&amp;pages=150-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the use of subscores in higher education: when is this useful?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the use of subscores in higher education: when is this useful?</dc:title>
  <dc:subject>Health &amp; Medicine;</dc:subject>
  <dc:creator>AssignBuster</dc:creator>
  <cp:keywords/>
  <dc:description>A corrigendum on The Use of Subscores in Higher Education: When Is This Useful? by Meijer, 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