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changes to international accounting standards</w:t>
        </w:r>
      </w:hyperlink>
      <w:bookmarkEnd w:id="0"/>
    </w:p>
    <w:p>
      <w:r>
        <w:br w:type="page"/>
      </w:r>
    </w:p>
    <w:p>
      <w:pPr>
        <w:pStyle w:val="TextBody"/>
        <w:bidi w:val="0"/>
        <w:jc w:val="start"/>
        <w:rPr>
          <w:u w:val="single"/>
        </w:rPr>
      </w:pPr>
      <w:r>
        <w:rPr>
          <w:u w:val="single"/>
        </w:rPr>
        <w:t xml:space="preserve">CONTENTS PAGE (Jump to) </w:t>
      </w:r>
    </w:p>
    <w:p>
      <w:pPr>
        <w:pStyle w:val="TextBody"/>
        <w:bidi w:val="0"/>
        <w:spacing w:before="0" w:after="283"/>
        <w:jc w:val="start"/>
        <w:rPr/>
      </w:pPr>
      <w:r>
        <w:rPr>
          <w:u w:val="single"/>
        </w:rPr>
        <w:t xml:space="preserve">(1)(a) REQUIRED CHANGES UNDER INTERNATIONAL ACCOUNTING STANDARDS </w:t>
      </w:r>
    </w:p>
    <w:p>
      <w:pPr>
        <w:pStyle w:val="TextBody"/>
        <w:bidi w:val="0"/>
        <w:spacing w:before="0" w:after="283"/>
        <w:jc w:val="start"/>
        <w:rPr/>
      </w:pPr>
      <w:r>
        <w:rPr>
          <w:u w:val="single"/>
        </w:rPr>
        <w:t xml:space="preserve">(1)(b) MERITS AND DEMERITS OF EXTINCTION OF EXTRAORDINARY ITEMS </w:t>
      </w:r>
    </w:p>
    <w:p>
      <w:pPr>
        <w:pStyle w:val="TextBody"/>
        <w:bidi w:val="0"/>
        <w:spacing w:before="0" w:after="283"/>
        <w:jc w:val="start"/>
        <w:rPr/>
      </w:pPr>
      <w:r>
        <w:rPr>
          <w:u w:val="single"/>
        </w:rPr>
        <w:t xml:space="preserve">(1)(c) RECOGNISED GAINS AND LOSSES AND HISTORICAL COSTS </w:t>
      </w:r>
    </w:p>
    <w:p>
      <w:pPr>
        <w:pStyle w:val="TextBody"/>
        <w:bidi w:val="0"/>
        <w:spacing w:before="0" w:after="283"/>
        <w:jc w:val="start"/>
        <w:rPr/>
      </w:pPr>
      <w:r>
        <w:rPr>
          <w:u w:val="single"/>
        </w:rPr>
        <w:t xml:space="preserve">(1)(d) CLASSIFICATION OF PREFERENCE SHARES AND DIVIDENDS </w:t>
      </w:r>
    </w:p>
    <w:p>
      <w:pPr>
        <w:pStyle w:val="TextBody"/>
        <w:bidi w:val="0"/>
        <w:spacing w:before="0" w:after="283"/>
        <w:jc w:val="start"/>
        <w:rPr/>
      </w:pPr>
      <w:r>
        <w:rPr>
          <w:u w:val="single"/>
        </w:rPr>
        <w:t xml:space="preserve">(2)(a) OBJECTIVES OF IAS 7 AND DISTINCTION BETWEEN IAS 7 &amp; FRS </w:t>
      </w:r>
    </w:p>
    <w:p>
      <w:pPr>
        <w:pStyle w:val="TextBody"/>
        <w:bidi w:val="0"/>
        <w:spacing w:before="0" w:after="283"/>
        <w:jc w:val="start"/>
        <w:rPr/>
      </w:pPr>
      <w:r>
        <w:rPr>
          <w:u w:val="single"/>
        </w:rPr>
        <w:t xml:space="preserve">(2)(b) PREPARATION OF A CASH FLOW STATEMENT UNDER A DIRECT METHOD UNDER IAS7 &amp; FRS </w:t>
      </w:r>
    </w:p>
    <w:p>
      <w:pPr>
        <w:pStyle w:val="TextBody"/>
        <w:bidi w:val="0"/>
        <w:spacing w:before="0" w:after="283"/>
        <w:jc w:val="start"/>
        <w:rPr/>
      </w:pPr>
      <w:r>
        <w:rPr>
          <w:u w:val="single"/>
        </w:rPr>
        <w:t xml:space="preserve">(2)(c) ASSESSMENT OF THE COMPANY’S LIQUIDITY IN ACCORDANCE WITH THE INFORMATION ON THE CASH FLOW </w:t>
      </w:r>
    </w:p>
    <w:p>
      <w:pPr>
        <w:pStyle w:val="TextBody"/>
        <w:bidi w:val="0"/>
        <w:spacing w:before="0" w:after="283"/>
        <w:jc w:val="start"/>
        <w:rPr/>
      </w:pPr>
      <w:r>
        <w:rPr/>
        <w:t xml:space="preserve">BIBLIOGRAPHY </w:t>
      </w:r>
    </w:p>
    <w:p>
      <w:pPr>
        <w:pStyle w:val="TextBody"/>
        <w:bidi w:val="0"/>
        <w:spacing w:before="0" w:after="283"/>
        <w:jc w:val="start"/>
        <w:rPr/>
      </w:pPr>
      <w:r>
        <w:rPr/>
        <w:t xml:space="preserve">This report relates to the recent changes in the International Accounting Standards. Furthermore, it underlines the primary principles that Sky Corporation must comply with. </w:t>
      </w:r>
    </w:p>
    <w:p>
      <w:pPr>
        <w:pStyle w:val="TextBody"/>
        <w:bidi w:val="0"/>
        <w:jc w:val="start"/>
        <w:rPr>
          <w:u w:val="single"/>
        </w:rPr>
      </w:pPr>
      <w:r>
        <w:rPr>
          <w:u w:val="single"/>
        </w:rPr>
        <w:t xml:space="preserve">(1)(a) REQUIRED CHANGES UNDER INTERNATIONAL ACCOUNTING STANDARDS </w:t>
      </w:r>
    </w:p>
    <w:p>
      <w:pPr>
        <w:pStyle w:val="TextBody"/>
        <w:bidi w:val="0"/>
        <w:spacing w:before="0" w:after="283"/>
        <w:jc w:val="start"/>
        <w:rPr/>
      </w:pPr>
      <w:r>
        <w:rPr/>
        <w:t xml:space="preserve">After the introduction of the International Accountant Standards, all public limited companies must comply with these provisions. Sky Corporation must adhere to the IAS 1, effective on all financial statements dating on and from 1 </w:t>
      </w:r>
      <w:r>
        <w:rPr>
          <w:position w:val="8"/>
          <w:sz w:val="19"/>
        </w:rPr>
        <w:t xml:space="preserve">st </w:t>
      </w:r>
      <w:r>
        <w:rPr/>
        <w:t xml:space="preserve">January 2005. In effect the Sky plc will have to prepare its financial statements on a going concern basis unless there is an intension to liquidate the entity, accrual basis of accounting must be used in the preparation of financial statements except for cash flow statements, presentation and classification of items must be obtained from one period to the next, material class of similar items must be presented separately and dissimilar items must be included separately unless they are immaterial, items (individually or collectively) that are likely to influence the economic decision of the user must not be omitted or misstated, assets, liabilities, income and expenses must not be offset unless approved by an IFRS, financial statements must be presented at least annually, all amounts relating to comparative information must be disclosed in financial statements. </w:t>
      </w:r>
    </w:p>
    <w:p>
      <w:pPr>
        <w:pStyle w:val="TextBody"/>
        <w:bidi w:val="0"/>
        <w:spacing w:before="0" w:after="283"/>
        <w:jc w:val="start"/>
        <w:rPr/>
      </w:pPr>
      <w:r>
        <w:rPr/>
        <w:t xml:space="preserve">Furthermore, Sky must adhere to the disclosure requirements on the face of or in the notes to the balance sheet BS, income statement and statement of changes in equity. Current and non-current assets and liabilities must be present as separate classification on the face of the BS. Additionally, financial statements must include specified disclosure in relation to information, judgements, estimations, uncertainties and accounting policies. </w:t>
      </w:r>
    </w:p>
    <w:p>
      <w:pPr>
        <w:pStyle w:val="TextBody"/>
        <w:bidi w:val="0"/>
        <w:spacing w:before="0" w:after="283"/>
        <w:jc w:val="start"/>
        <w:rPr/>
      </w:pPr>
      <w:r>
        <w:rPr/>
        <w:t xml:space="preserve">At present, Sky’s accountant made a statement indicating that the financial statements in the forthcoming November 2005 accounts will comply with the principles of IAS. In addition, the company’s financial statements included audited reconciliation of the 2005 Income Statement, Balance Sheet and Cash Flow to UK GAAP from IFRS detailing the impact of the Company’s new accounting policies, and unaudited quarterly 2005 Income Statements to provide comparatives for 2006. </w:t>
      </w:r>
    </w:p>
    <w:p>
      <w:pPr>
        <w:pStyle w:val="TextBody"/>
        <w:bidi w:val="0"/>
        <w:jc w:val="start"/>
        <w:rPr>
          <w:u w:val="single"/>
        </w:rPr>
      </w:pPr>
      <w:r>
        <w:rPr>
          <w:u w:val="single"/>
        </w:rPr>
        <w:t xml:space="preserve">(1)(b) MERITS AND DEMERITS OF EXTINCTION OF EXTRAORDINARY ITEMS </w:t>
      </w:r>
    </w:p>
    <w:p>
      <w:pPr>
        <w:pStyle w:val="TextBody"/>
        <w:bidi w:val="0"/>
        <w:spacing w:before="0" w:after="283"/>
        <w:jc w:val="start"/>
        <w:rPr/>
      </w:pPr>
      <w:r>
        <w:rPr/>
        <w:t xml:space="preserve">ISA 1 regarding the presentation of financial statements was issued in December 2003 and is applicable for annual periods beginning on or after 1 January 2005. International Accounting Standard (IAS 1) prescribes the grounds for presentation of general-purpose financial statements, to ensure comparability both with entity’s financial statements of previous periods and with financial statements of other entities. </w:t>
      </w:r>
    </w:p>
    <w:p>
      <w:pPr>
        <w:pStyle w:val="TextBody"/>
        <w:bidi w:val="0"/>
        <w:spacing w:before="0" w:after="283"/>
        <w:jc w:val="start"/>
        <w:rPr/>
      </w:pPr>
      <w:r>
        <w:rPr/>
        <w:t xml:space="preserve">ISA 1 does not serve any application to interim financial statements prepared in accordance with the ISA 34. Under the SSAP 6 extraordinary items are material items which are transaction that fall outside the ordinary activities of the company and thus not expected to recur frequently or regularly. By excluding extraordinary items from the P&amp;L, this will reflect on the EPS. Exclusion of extraordinary items will benefit the current operating performance. As far as Sky Communications Plc is, concern there appears to be no extraordinary items in their P&amp;L account. Additionally, EPS will be greater than expected if extraordinary items were included since the EPS is used by investors to calculate PE ratio. The exclusion of extraordinary items could also lead to an increase in corporation tax. </w:t>
      </w:r>
    </w:p>
    <w:p>
      <w:pPr>
        <w:pStyle w:val="TextBody"/>
        <w:bidi w:val="0"/>
        <w:jc w:val="start"/>
        <w:rPr>
          <w:u w:val="single"/>
        </w:rPr>
      </w:pPr>
      <w:r>
        <w:rPr>
          <w:u w:val="single"/>
        </w:rPr>
        <w:t xml:space="preserve">(1)(c) RECOGNISED GAINS AND LOSSES AND HISTORICAL COSTS </w:t>
      </w:r>
    </w:p>
    <w:p>
      <w:pPr>
        <w:pStyle w:val="TextBody"/>
        <w:bidi w:val="0"/>
        <w:spacing w:before="0" w:after="283"/>
        <w:jc w:val="start"/>
        <w:rPr/>
      </w:pPr>
      <w:r>
        <w:rPr/>
        <w:t xml:space="preserve">Under the FRED 22 (revision of FRS3)which aim to reflect the international shift, makes provisions for reporting comprehensive income such as reporting all recognised gains and losses in a sole statement instead of splitting these gains and losses between the performance statement and the STRGL. There is a need for the display of recognised gains and losses as they are part of the company’s operating activities and some are financial in nature. There is a list of recognised gains and losses that should appear in the treasury section of the performance statement. According to Sky’s accounts for 2004 and 2005, there were no recognised gains or losses in either year other than those included within the profit and loss account. </w:t>
      </w:r>
    </w:p>
    <w:p>
      <w:pPr>
        <w:pStyle w:val="TextBody"/>
        <w:bidi w:val="0"/>
        <w:spacing w:before="0" w:after="283"/>
        <w:jc w:val="start"/>
        <w:rPr/>
      </w:pPr>
      <w:r>
        <w:rPr/>
        <w:t xml:space="preserve">Primarily, statement of total recognised gains and losses are financial statements that enable users to consider all recognised gains and losses of a reporting company in assessing the company’s overall performance. </w:t>
      </w:r>
    </w:p>
    <w:p>
      <w:pPr>
        <w:pStyle w:val="TextBody"/>
        <w:bidi w:val="0"/>
        <w:spacing w:before="0" w:after="283"/>
        <w:jc w:val="start"/>
        <w:rPr/>
      </w:pPr>
      <w:r>
        <w:rPr/>
        <w:t xml:space="preserve">Notes of historical costs are necessary as it identifies the resources acquired by the company at their original price. In effect, this identifies how the items are actually measured over a period. Additionally, it assists with the understanding of capital maintenance adjustments. Firstly, assets are recorded at the value of the consideration given to acquire them at the time of acquisition. Liabilities are recorded at the amount of proceeds received in exchange for the obligation. The purpose for this is to measure the process of determining the monetary amounts in which the element of the financial statements are to be recognised and carried in the balance sheet and in the income statement. </w:t>
      </w:r>
    </w:p>
    <w:p>
      <w:pPr>
        <w:pStyle w:val="TextBody"/>
        <w:bidi w:val="0"/>
        <w:jc w:val="start"/>
        <w:rPr>
          <w:u w:val="single"/>
        </w:rPr>
      </w:pPr>
      <w:r>
        <w:rPr>
          <w:u w:val="single"/>
        </w:rPr>
        <w:t xml:space="preserve">(1)(d) CLASSIFICATION OF PREFERENCE SHARES AND DIVIDENDS </w:t>
      </w:r>
    </w:p>
    <w:p>
      <w:pPr>
        <w:pStyle w:val="TextBody"/>
        <w:bidi w:val="0"/>
        <w:spacing w:before="0" w:after="283"/>
        <w:jc w:val="start"/>
        <w:rPr/>
      </w:pPr>
      <w:r>
        <w:rPr/>
        <w:t xml:space="preserve">According to the IAS 1 preference shares are reclassified to borrowings and the preference dividends are reclassified to finance costs. However, when preference shares are non-redeemable, the appropriate classification is determined by the rights attached to the preference shares. Classification is dependent upon an assessment of the substance of the contractual arrangements, equity instrument and the definition of financial liability. Furthermore, the classification of preference shares as an equity instrument or a financial liability is unaffected by a history of making distributions and an intention to make distribution in the future. </w:t>
      </w:r>
    </w:p>
    <w:p>
      <w:pPr>
        <w:pStyle w:val="TextBody"/>
        <w:bidi w:val="0"/>
        <w:spacing w:before="0" w:after="283"/>
        <w:jc w:val="start"/>
        <w:rPr/>
      </w:pPr>
      <w:r>
        <w:rPr/>
        <w:t xml:space="preserve">Under IAS 10, a company must not recognise a liability for dividends in respect of dividends declared after the balance sheet date as it is not a current liability at the balance sheets date under IAS 37. In the event that a company purchases its preference shares for cancellation for more than their carrying amount (premium) then this should be treated as preferred dividend in the calculation of EPS. </w:t>
      </w:r>
    </w:p>
    <w:p>
      <w:pPr>
        <w:pStyle w:val="TextBody"/>
        <w:bidi w:val="0"/>
        <w:jc w:val="start"/>
        <w:rPr>
          <w:u w:val="single"/>
        </w:rPr>
      </w:pPr>
      <w:r>
        <w:rPr>
          <w:u w:val="single"/>
        </w:rPr>
        <w:t xml:space="preserve">(2)(a) OBJECTIVES OF IAS 7 AND DISTINCTION BETWEEN IAS 7 &amp; FRS1 </w:t>
      </w:r>
    </w:p>
    <w:p>
      <w:pPr>
        <w:pStyle w:val="TextBody"/>
        <w:bidi w:val="0"/>
        <w:spacing w:before="0" w:after="283"/>
        <w:jc w:val="start"/>
        <w:rPr/>
      </w:pPr>
      <w:r>
        <w:rPr/>
        <w:t xml:space="preserve">The structure of the IAS 7 had an influence on the revision of FRS 1. The objective of IAS 7 is that a cash flow statement of a company must correspond to the requirements and identifications under IAS1. In addition, the cash flow must identify movement in cash and cash equivalents during the financial period (cash equivalents are short term and highly liquid investments). Furthermore, there must be a provision identifying and classifying the changes in cash and cash equivalents to operating, investing and financing activities. </w:t>
      </w:r>
    </w:p>
    <w:p>
      <w:pPr>
        <w:pStyle w:val="TextBody"/>
        <w:bidi w:val="0"/>
        <w:spacing w:before="0" w:after="283"/>
        <w:jc w:val="start"/>
        <w:rPr/>
      </w:pPr>
      <w:r>
        <w:rPr/>
        <w:t xml:space="preserve">In a number of cases, there are conflicting factors between the framework of the Financial Reporting Standards and the International Accounting Standards. In the event of conflict, the framework of the International Accounting Standards prevails over the Financial Reporting Standards. </w:t>
      </w:r>
    </w:p>
    <w:p>
      <w:pPr>
        <w:pStyle w:val="TextBody"/>
        <w:bidi w:val="0"/>
        <w:spacing w:before="0" w:after="283"/>
        <w:jc w:val="start"/>
        <w:rPr/>
      </w:pPr>
      <w:r>
        <w:rPr/>
        <w:t xml:space="preserve">IAS 7 requires companies to present cash flow statements as part of a company’s financial statement. International Accounting Standards (IAS 7) is a mechanism that provide additional information on the company’s business activities, assess the present liquidity of the business activities, demonstrate substantial cash flow sources, assist with the estimation of future cash flows and finally will identify cash flow accumulated from trading activities rather than sources of finance. </w:t>
      </w:r>
    </w:p>
    <w:p>
      <w:pPr>
        <w:pStyle w:val="TextBody"/>
        <w:bidi w:val="0"/>
        <w:jc w:val="start"/>
        <w:rPr>
          <w:u w:val="single"/>
        </w:rPr>
      </w:pPr>
      <w:r>
        <w:rPr>
          <w:u w:val="single"/>
        </w:rPr>
        <w:t xml:space="preserve">(2)(b) PREPARATION OF A CASH FLOW STATEMENT UNDER A DIRECT METHOD UNDER IAS7 &amp; FRS1 </w:t>
      </w:r>
    </w:p>
    <w:p>
      <w:pPr>
        <w:pStyle w:val="TextBody"/>
        <w:bidi w:val="0"/>
        <w:jc w:val="start"/>
        <w:rPr>
          <w:u w:val="single"/>
        </w:rPr>
      </w:pPr>
      <w:r>
        <w:rPr>
          <w:u w:val="single"/>
        </w:rPr>
        <w:t xml:space="preserve">The following is a cash flow for Sky plc prepared in accordance with the direct method IAS 7: </w:t>
      </w:r>
    </w:p>
    <w:tbl>
      <w:tblPr>
        <w:tblW w:w="4236" w:type="dxa"/>
        <w:jc w:val="start"/>
        <w:tblInd w:w="0" w:type="dxa"/>
        <w:tblLayout w:type="fixed"/>
        <w:tblCellMar>
          <w:top w:w="28" w:type="dxa"/>
          <w:start w:w="28" w:type="dxa"/>
          <w:bottom w:w="28" w:type="dxa"/>
          <w:end w:w="28" w:type="dxa"/>
        </w:tblCellMar>
      </w:tblPr>
      <w:tblGrid>
        <w:gridCol w:w="3320"/>
        <w:gridCol w:w="916"/>
      </w:tblGrid>
      <w:tr>
        <w:trPr/>
        <w:tc>
          <w:tcPr>
            <w:tcW w:w="3320"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pPr>
            <w:r>
              <w:rPr/>
              <w:t xml:space="preserve">(£000’s) </w:t>
            </w:r>
          </w:p>
        </w:tc>
      </w:tr>
      <w:tr>
        <w:trPr/>
        <w:tc>
          <w:tcPr>
            <w:tcW w:w="3320" w:type="dxa"/>
            <w:tcBorders/>
            <w:vAlign w:val="center"/>
          </w:tcPr>
          <w:p>
            <w:pPr>
              <w:pStyle w:val="TableContents"/>
              <w:bidi w:val="0"/>
              <w:spacing w:before="0" w:after="283"/>
              <w:jc w:val="start"/>
              <w:rPr/>
            </w:pPr>
            <w:r>
              <w:rPr/>
              <w:t xml:space="preserve">Cash Flows from Operating Activities: </w:t>
            </w:r>
          </w:p>
        </w:tc>
        <w:tc>
          <w:tcPr>
            <w:tcW w:w="916"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Net Profit before Tax </w:t>
            </w:r>
          </w:p>
        </w:tc>
        <w:tc>
          <w:tcPr>
            <w:tcW w:w="916" w:type="dxa"/>
            <w:tcBorders/>
            <w:vAlign w:val="center"/>
          </w:tcPr>
          <w:p>
            <w:pPr>
              <w:pStyle w:val="TableContents"/>
              <w:bidi w:val="0"/>
              <w:spacing w:before="0" w:after="283"/>
              <w:jc w:val="start"/>
              <w:rPr/>
            </w:pPr>
            <w:r>
              <w:rPr/>
              <w:t xml:space="preserve">11, 600 </w:t>
            </w:r>
          </w:p>
        </w:tc>
      </w:tr>
      <w:tr>
        <w:trPr/>
        <w:tc>
          <w:tcPr>
            <w:tcW w:w="3320" w:type="dxa"/>
            <w:tcBorders/>
            <w:vAlign w:val="center"/>
          </w:tcPr>
          <w:p>
            <w:pPr>
              <w:pStyle w:val="TableContents"/>
              <w:bidi w:val="0"/>
              <w:spacing w:before="0" w:after="283"/>
              <w:jc w:val="start"/>
              <w:rPr/>
            </w:pPr>
            <w:r>
              <w:rPr/>
              <w:t xml:space="preserve">Adjustment for: </w:t>
            </w:r>
          </w:p>
        </w:tc>
        <w:tc>
          <w:tcPr>
            <w:tcW w:w="916"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Depreciation </w:t>
            </w:r>
          </w:p>
        </w:tc>
        <w:tc>
          <w:tcPr>
            <w:tcW w:w="916" w:type="dxa"/>
            <w:tcBorders/>
            <w:vAlign w:val="center"/>
          </w:tcPr>
          <w:p>
            <w:pPr>
              <w:pStyle w:val="TableContents"/>
              <w:bidi w:val="0"/>
              <w:spacing w:before="0" w:after="283"/>
              <w:jc w:val="start"/>
              <w:rPr/>
            </w:pPr>
            <w:r>
              <w:rPr/>
              <w:t xml:space="preserve">6, 000 </w:t>
            </w:r>
          </w:p>
        </w:tc>
      </w:tr>
      <w:tr>
        <w:trPr/>
        <w:tc>
          <w:tcPr>
            <w:tcW w:w="3320" w:type="dxa"/>
            <w:tcBorders/>
            <w:vAlign w:val="center"/>
          </w:tcPr>
          <w:p>
            <w:pPr>
              <w:pStyle w:val="TableContents"/>
              <w:bidi w:val="0"/>
              <w:spacing w:before="0" w:after="283"/>
              <w:jc w:val="start"/>
              <w:rPr/>
            </w:pPr>
            <w:r>
              <w:rPr/>
              <w:t xml:space="preserve">Loss on Sale Non-current Assets </w:t>
            </w:r>
          </w:p>
        </w:tc>
        <w:tc>
          <w:tcPr>
            <w:tcW w:w="916" w:type="dxa"/>
            <w:tcBorders/>
            <w:vAlign w:val="center"/>
          </w:tcPr>
          <w:p>
            <w:pPr>
              <w:pStyle w:val="TableContents"/>
              <w:bidi w:val="0"/>
              <w:spacing w:before="0" w:after="283"/>
              <w:jc w:val="start"/>
              <w:rPr/>
            </w:pPr>
            <w:r>
              <w:rPr/>
              <w:t xml:space="preserve">25 </w:t>
            </w:r>
          </w:p>
        </w:tc>
      </w:tr>
      <w:tr>
        <w:trPr/>
        <w:tc>
          <w:tcPr>
            <w:tcW w:w="3320" w:type="dxa"/>
            <w:tcBorders/>
            <w:vAlign w:val="center"/>
          </w:tcPr>
          <w:p>
            <w:pPr>
              <w:pStyle w:val="TableContents"/>
              <w:bidi w:val="0"/>
              <w:spacing w:before="0" w:after="283"/>
              <w:jc w:val="start"/>
              <w:rPr/>
            </w:pPr>
            <w:r>
              <w:rPr/>
              <w:t xml:space="preserve">Interest Expense </w:t>
            </w:r>
          </w:p>
        </w:tc>
        <w:tc>
          <w:tcPr>
            <w:tcW w:w="916" w:type="dxa"/>
            <w:tcBorders/>
            <w:vAlign w:val="center"/>
          </w:tcPr>
          <w:p>
            <w:pPr>
              <w:pStyle w:val="TableContents"/>
              <w:bidi w:val="0"/>
              <w:spacing w:before="0" w:after="283"/>
              <w:jc w:val="start"/>
              <w:rPr>
                <w:u w:val="single"/>
              </w:rPr>
            </w:pPr>
            <w:r>
              <w:rPr>
                <w:u w:val="single"/>
              </w:rPr>
              <w:t xml:space="preserve">2, 150 </w:t>
            </w:r>
          </w:p>
        </w:tc>
      </w:tr>
      <w:tr>
        <w:trPr/>
        <w:tc>
          <w:tcPr>
            <w:tcW w:w="3320" w:type="dxa"/>
            <w:tcBorders/>
            <w:vAlign w:val="center"/>
          </w:tcPr>
          <w:p>
            <w:pPr>
              <w:pStyle w:val="TableContents"/>
              <w:bidi w:val="0"/>
              <w:spacing w:before="0" w:after="283"/>
              <w:jc w:val="start"/>
              <w:rPr/>
            </w:pPr>
            <w:r>
              <w:rPr/>
              <w:t xml:space="preserve">Operating Profit before Working Capital Changes </w:t>
            </w:r>
          </w:p>
        </w:tc>
        <w:tc>
          <w:tcPr>
            <w:tcW w:w="916" w:type="dxa"/>
            <w:tcBorders/>
            <w:vAlign w:val="center"/>
          </w:tcPr>
          <w:p>
            <w:pPr>
              <w:pStyle w:val="TableContents"/>
              <w:bidi w:val="0"/>
              <w:spacing w:before="0" w:after="283"/>
              <w:jc w:val="start"/>
              <w:rPr/>
            </w:pPr>
            <w:r>
              <w:rPr/>
              <w:t xml:space="preserve">19, 775 </w:t>
            </w:r>
          </w:p>
        </w:tc>
      </w:tr>
      <w:tr>
        <w:trPr/>
        <w:tc>
          <w:tcPr>
            <w:tcW w:w="3320" w:type="dxa"/>
            <w:tcBorders/>
            <w:vAlign w:val="center"/>
          </w:tcPr>
          <w:p>
            <w:pPr>
              <w:pStyle w:val="TableContents"/>
              <w:bidi w:val="0"/>
              <w:spacing w:before="0" w:after="283"/>
              <w:jc w:val="start"/>
              <w:rPr/>
            </w:pPr>
            <w:r>
              <w:rPr/>
              <w:t xml:space="preserve">Increase in Inventory </w:t>
            </w:r>
          </w:p>
        </w:tc>
        <w:tc>
          <w:tcPr>
            <w:tcW w:w="916" w:type="dxa"/>
            <w:tcBorders/>
            <w:vAlign w:val="center"/>
          </w:tcPr>
          <w:p>
            <w:pPr>
              <w:pStyle w:val="TableContents"/>
              <w:bidi w:val="0"/>
              <w:spacing w:before="0" w:after="283"/>
              <w:jc w:val="start"/>
              <w:rPr/>
            </w:pPr>
            <w:r>
              <w:rPr/>
              <w:t xml:space="preserve">(2, 000) </w:t>
            </w:r>
          </w:p>
        </w:tc>
      </w:tr>
      <w:tr>
        <w:trPr/>
        <w:tc>
          <w:tcPr>
            <w:tcW w:w="3320" w:type="dxa"/>
            <w:tcBorders/>
            <w:vAlign w:val="center"/>
          </w:tcPr>
          <w:p>
            <w:pPr>
              <w:pStyle w:val="TableContents"/>
              <w:bidi w:val="0"/>
              <w:spacing w:before="0" w:after="283"/>
              <w:jc w:val="start"/>
              <w:rPr/>
            </w:pPr>
            <w:r>
              <w:rPr/>
              <w:t xml:space="preserve">Increase in Receivables </w:t>
            </w:r>
          </w:p>
        </w:tc>
        <w:tc>
          <w:tcPr>
            <w:tcW w:w="916" w:type="dxa"/>
            <w:tcBorders/>
            <w:vAlign w:val="center"/>
          </w:tcPr>
          <w:p>
            <w:pPr>
              <w:pStyle w:val="TableContents"/>
              <w:bidi w:val="0"/>
              <w:spacing w:before="0" w:after="283"/>
              <w:jc w:val="start"/>
              <w:rPr/>
            </w:pPr>
            <w:r>
              <w:rPr/>
              <w:t xml:space="preserve">(2, 500) </w:t>
            </w:r>
          </w:p>
        </w:tc>
      </w:tr>
      <w:tr>
        <w:trPr/>
        <w:tc>
          <w:tcPr>
            <w:tcW w:w="3320" w:type="dxa"/>
            <w:tcBorders/>
            <w:vAlign w:val="center"/>
          </w:tcPr>
          <w:p>
            <w:pPr>
              <w:pStyle w:val="TableContents"/>
              <w:bidi w:val="0"/>
              <w:spacing w:before="0" w:after="283"/>
              <w:jc w:val="start"/>
              <w:rPr/>
            </w:pPr>
            <w:r>
              <w:rPr/>
              <w:t xml:space="preserve">Decrease in Payables </w:t>
            </w:r>
          </w:p>
        </w:tc>
        <w:tc>
          <w:tcPr>
            <w:tcW w:w="916" w:type="dxa"/>
            <w:tcBorders/>
            <w:vAlign w:val="center"/>
          </w:tcPr>
          <w:p>
            <w:pPr>
              <w:pStyle w:val="TableContents"/>
              <w:bidi w:val="0"/>
              <w:spacing w:before="0" w:after="283"/>
              <w:jc w:val="start"/>
              <w:rPr/>
            </w:pPr>
            <w:r>
              <w:rPr>
                <w:u w:val="single"/>
              </w:rPr>
              <w:t xml:space="preserve">(900 </w:t>
            </w:r>
            <w:r>
              <w:rPr/>
              <w:t xml:space="preserve">) </w:t>
            </w:r>
          </w:p>
        </w:tc>
      </w:tr>
      <w:tr>
        <w:trPr/>
        <w:tc>
          <w:tcPr>
            <w:tcW w:w="3320" w:type="dxa"/>
            <w:tcBorders/>
            <w:vAlign w:val="center"/>
          </w:tcPr>
          <w:p>
            <w:pPr>
              <w:pStyle w:val="TableContents"/>
              <w:bidi w:val="0"/>
              <w:spacing w:before="0" w:after="283"/>
              <w:jc w:val="start"/>
              <w:rPr/>
            </w:pPr>
            <w:r>
              <w:rPr/>
              <w:t xml:space="preserve">Cash Generated from Operations </w:t>
            </w:r>
          </w:p>
        </w:tc>
        <w:tc>
          <w:tcPr>
            <w:tcW w:w="916" w:type="dxa"/>
            <w:tcBorders/>
            <w:vAlign w:val="center"/>
          </w:tcPr>
          <w:p>
            <w:pPr>
              <w:pStyle w:val="TableContents"/>
              <w:bidi w:val="0"/>
              <w:spacing w:before="0" w:after="283"/>
              <w:jc w:val="start"/>
              <w:rPr/>
            </w:pPr>
            <w:r>
              <w:rPr/>
              <w:t xml:space="preserve">14, 375 </w:t>
            </w:r>
          </w:p>
        </w:tc>
      </w:tr>
      <w:tr>
        <w:trPr/>
        <w:tc>
          <w:tcPr>
            <w:tcW w:w="3320" w:type="dxa"/>
            <w:tcBorders/>
            <w:vAlign w:val="center"/>
          </w:tcPr>
          <w:p>
            <w:pPr>
              <w:pStyle w:val="TableContents"/>
              <w:bidi w:val="0"/>
              <w:spacing w:before="0" w:after="283"/>
              <w:jc w:val="start"/>
              <w:rPr/>
            </w:pPr>
            <w:r>
              <w:rPr/>
              <w:t xml:space="preserve">Interest Paid (A2) </w:t>
            </w:r>
          </w:p>
        </w:tc>
        <w:tc>
          <w:tcPr>
            <w:tcW w:w="916" w:type="dxa"/>
            <w:tcBorders/>
            <w:vAlign w:val="center"/>
          </w:tcPr>
          <w:p>
            <w:pPr>
              <w:pStyle w:val="TableContents"/>
              <w:bidi w:val="0"/>
              <w:spacing w:before="0" w:after="283"/>
              <w:jc w:val="start"/>
              <w:rPr/>
            </w:pPr>
            <w:r>
              <w:rPr/>
              <w:t xml:space="preserve">(2, 150) </w:t>
            </w:r>
          </w:p>
        </w:tc>
      </w:tr>
      <w:tr>
        <w:trPr/>
        <w:tc>
          <w:tcPr>
            <w:tcW w:w="3320" w:type="dxa"/>
            <w:tcBorders/>
            <w:vAlign w:val="center"/>
          </w:tcPr>
          <w:p>
            <w:pPr>
              <w:pStyle w:val="TableContents"/>
              <w:bidi w:val="0"/>
              <w:spacing w:before="0" w:after="283"/>
              <w:jc w:val="start"/>
              <w:rPr/>
            </w:pPr>
            <w:r>
              <w:rPr/>
              <w:t xml:space="preserve">Dividends Paid (A3) </w:t>
            </w:r>
          </w:p>
        </w:tc>
        <w:tc>
          <w:tcPr>
            <w:tcW w:w="916" w:type="dxa"/>
            <w:tcBorders/>
            <w:vAlign w:val="center"/>
          </w:tcPr>
          <w:p>
            <w:pPr>
              <w:pStyle w:val="TableContents"/>
              <w:bidi w:val="0"/>
              <w:spacing w:before="0" w:after="283"/>
              <w:jc w:val="start"/>
              <w:rPr/>
            </w:pPr>
            <w:r>
              <w:rPr/>
              <w:t xml:space="preserve">(2, 000) </w:t>
            </w:r>
          </w:p>
        </w:tc>
      </w:tr>
      <w:tr>
        <w:trPr/>
        <w:tc>
          <w:tcPr>
            <w:tcW w:w="3320" w:type="dxa"/>
            <w:tcBorders/>
            <w:vAlign w:val="center"/>
          </w:tcPr>
          <w:p>
            <w:pPr>
              <w:pStyle w:val="TableContents"/>
              <w:bidi w:val="0"/>
              <w:spacing w:before="0" w:after="283"/>
              <w:jc w:val="start"/>
              <w:rPr/>
            </w:pPr>
            <w:r>
              <w:rPr/>
              <w:t xml:space="preserve">Tax Paid (A4) </w:t>
            </w:r>
          </w:p>
        </w:tc>
        <w:tc>
          <w:tcPr>
            <w:tcW w:w="916" w:type="dxa"/>
            <w:tcBorders/>
            <w:vAlign w:val="center"/>
          </w:tcPr>
          <w:p>
            <w:pPr>
              <w:pStyle w:val="TableContents"/>
              <w:bidi w:val="0"/>
              <w:spacing w:before="0" w:after="283"/>
              <w:jc w:val="start"/>
              <w:rPr/>
            </w:pPr>
            <w:r>
              <w:rPr>
                <w:u w:val="single"/>
              </w:rPr>
              <w:t xml:space="preserve">(2, 250 </w:t>
            </w:r>
            <w:r>
              <w:rPr/>
              <w:t xml:space="preserve">) </w:t>
            </w:r>
          </w:p>
        </w:tc>
      </w:tr>
      <w:tr>
        <w:trPr/>
        <w:tc>
          <w:tcPr>
            <w:tcW w:w="3320" w:type="dxa"/>
            <w:tcBorders/>
            <w:vAlign w:val="center"/>
          </w:tcPr>
          <w:p>
            <w:pPr>
              <w:pStyle w:val="TableContents"/>
              <w:bidi w:val="0"/>
              <w:spacing w:before="0" w:after="283"/>
              <w:jc w:val="start"/>
              <w:rPr/>
            </w:pPr>
            <w:r>
              <w:rPr/>
              <w:t xml:space="preserve">Net Cash Flow from Operating Activities </w:t>
            </w:r>
          </w:p>
        </w:tc>
        <w:tc>
          <w:tcPr>
            <w:tcW w:w="916" w:type="dxa"/>
            <w:tcBorders/>
            <w:vAlign w:val="center"/>
          </w:tcPr>
          <w:p>
            <w:pPr>
              <w:pStyle w:val="TableContents"/>
              <w:bidi w:val="0"/>
              <w:spacing w:before="0" w:after="283"/>
              <w:jc w:val="start"/>
              <w:rPr/>
            </w:pPr>
            <w:r>
              <w:rPr/>
              <w:t xml:space="preserve">7, 975 </w:t>
            </w:r>
          </w:p>
        </w:tc>
      </w:tr>
      <w:tr>
        <w:trPr/>
        <w:tc>
          <w:tcPr>
            <w:tcW w:w="3320" w:type="dxa"/>
            <w:tcBorders/>
            <w:vAlign w:val="center"/>
          </w:tcPr>
          <w:p>
            <w:pPr>
              <w:pStyle w:val="TableContents"/>
              <w:bidi w:val="0"/>
              <w:spacing w:before="0" w:after="283"/>
              <w:jc w:val="start"/>
              <w:rPr/>
            </w:pPr>
            <w:r>
              <w:rPr/>
              <w:t xml:space="preserve">Cash Flows from Investing Activities: </w:t>
            </w:r>
          </w:p>
        </w:tc>
        <w:tc>
          <w:tcPr>
            <w:tcW w:w="916"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Purchase of Non-current Assets (A5) </w:t>
            </w:r>
          </w:p>
        </w:tc>
        <w:tc>
          <w:tcPr>
            <w:tcW w:w="916" w:type="dxa"/>
            <w:tcBorders/>
            <w:vAlign w:val="center"/>
          </w:tcPr>
          <w:p>
            <w:pPr>
              <w:pStyle w:val="TableContents"/>
              <w:bidi w:val="0"/>
              <w:spacing w:before="0" w:after="283"/>
              <w:jc w:val="start"/>
              <w:rPr/>
            </w:pPr>
            <w:r>
              <w:rPr/>
              <w:t xml:space="preserve">(8, 825) </w:t>
            </w:r>
          </w:p>
        </w:tc>
      </w:tr>
      <w:tr>
        <w:trPr/>
        <w:tc>
          <w:tcPr>
            <w:tcW w:w="3320" w:type="dxa"/>
            <w:tcBorders/>
            <w:vAlign w:val="center"/>
          </w:tcPr>
          <w:p>
            <w:pPr>
              <w:pStyle w:val="TableContents"/>
              <w:bidi w:val="0"/>
              <w:spacing w:before="0" w:after="283"/>
              <w:jc w:val="start"/>
              <w:rPr/>
            </w:pPr>
            <w:r>
              <w:rPr/>
              <w:t xml:space="preserve">Proceeds of Sale Non-current Assets </w:t>
            </w:r>
          </w:p>
        </w:tc>
        <w:tc>
          <w:tcPr>
            <w:tcW w:w="916" w:type="dxa"/>
            <w:tcBorders/>
            <w:vAlign w:val="center"/>
          </w:tcPr>
          <w:p>
            <w:pPr>
              <w:pStyle w:val="TableContents"/>
              <w:bidi w:val="0"/>
              <w:spacing w:before="0" w:after="283"/>
              <w:jc w:val="start"/>
              <w:rPr>
                <w:u w:val="single"/>
              </w:rPr>
            </w:pPr>
            <w:r>
              <w:rPr>
                <w:u w:val="single"/>
              </w:rPr>
              <w:t xml:space="preserve">300 </w:t>
            </w:r>
          </w:p>
        </w:tc>
      </w:tr>
      <w:tr>
        <w:trPr/>
        <w:tc>
          <w:tcPr>
            <w:tcW w:w="3320" w:type="dxa"/>
            <w:tcBorders/>
            <w:vAlign w:val="center"/>
          </w:tcPr>
          <w:p>
            <w:pPr>
              <w:pStyle w:val="TableContents"/>
              <w:bidi w:val="0"/>
              <w:spacing w:before="0" w:after="283"/>
              <w:jc w:val="start"/>
              <w:rPr/>
            </w:pPr>
            <w:r>
              <w:rPr/>
              <w:t xml:space="preserve">Net Cash used in Investing Activities </w:t>
            </w:r>
          </w:p>
        </w:tc>
        <w:tc>
          <w:tcPr>
            <w:tcW w:w="916" w:type="dxa"/>
            <w:tcBorders/>
            <w:vAlign w:val="center"/>
          </w:tcPr>
          <w:p>
            <w:pPr>
              <w:pStyle w:val="TableContents"/>
              <w:bidi w:val="0"/>
              <w:spacing w:before="0" w:after="283"/>
              <w:jc w:val="start"/>
              <w:rPr/>
            </w:pPr>
            <w:r>
              <w:rPr/>
              <w:t xml:space="preserve">(8, 525) </w:t>
            </w:r>
          </w:p>
        </w:tc>
      </w:tr>
      <w:tr>
        <w:trPr/>
        <w:tc>
          <w:tcPr>
            <w:tcW w:w="3320" w:type="dxa"/>
            <w:tcBorders/>
            <w:vAlign w:val="center"/>
          </w:tcPr>
          <w:p>
            <w:pPr>
              <w:pStyle w:val="TableContents"/>
              <w:bidi w:val="0"/>
              <w:spacing w:before="0" w:after="283"/>
              <w:jc w:val="start"/>
              <w:rPr/>
            </w:pPr>
            <w:r>
              <w:rPr/>
              <w:t xml:space="preserve">Cash Flows from Financing Activities: </w:t>
            </w:r>
          </w:p>
        </w:tc>
        <w:tc>
          <w:tcPr>
            <w:tcW w:w="916" w:type="dxa"/>
            <w:tcBorders/>
            <w:vAlign w:val="center"/>
          </w:tcPr>
          <w:p>
            <w:pPr>
              <w:pStyle w:val="TableContents"/>
              <w:bidi w:val="0"/>
              <w:spacing w:before="0" w:after="283"/>
              <w:jc w:val="start"/>
              <w:rPr>
                <w:sz w:val="4"/>
                <w:szCs w:val="4"/>
              </w:rPr>
            </w:pPr>
            <w:r>
              <w:rPr>
                <w:sz w:val="4"/>
                <w:szCs w:val="4"/>
              </w:rPr>
            </w:r>
          </w:p>
        </w:tc>
      </w:tr>
      <w:tr>
        <w:trPr/>
        <w:tc>
          <w:tcPr>
            <w:tcW w:w="3320" w:type="dxa"/>
            <w:tcBorders/>
            <w:vAlign w:val="center"/>
          </w:tcPr>
          <w:p>
            <w:pPr>
              <w:pStyle w:val="TableContents"/>
              <w:bidi w:val="0"/>
              <w:spacing w:before="0" w:after="283"/>
              <w:jc w:val="start"/>
              <w:rPr/>
            </w:pPr>
            <w:r>
              <w:rPr/>
              <w:t xml:space="preserve">Proceeds, Issue of Shares (A6) </w:t>
            </w:r>
          </w:p>
        </w:tc>
        <w:tc>
          <w:tcPr>
            <w:tcW w:w="916" w:type="dxa"/>
            <w:tcBorders/>
            <w:vAlign w:val="center"/>
          </w:tcPr>
          <w:p>
            <w:pPr>
              <w:pStyle w:val="TableContents"/>
              <w:bidi w:val="0"/>
              <w:spacing w:before="0" w:after="283"/>
              <w:jc w:val="start"/>
              <w:rPr/>
            </w:pPr>
            <w:r>
              <w:rPr/>
              <w:t xml:space="preserve">50 </w:t>
            </w:r>
          </w:p>
        </w:tc>
      </w:tr>
      <w:tr>
        <w:trPr/>
        <w:tc>
          <w:tcPr>
            <w:tcW w:w="3320" w:type="dxa"/>
            <w:tcBorders/>
            <w:vAlign w:val="center"/>
          </w:tcPr>
          <w:p>
            <w:pPr>
              <w:pStyle w:val="TableContents"/>
              <w:bidi w:val="0"/>
              <w:spacing w:before="0" w:after="283"/>
              <w:jc w:val="start"/>
              <w:rPr/>
            </w:pPr>
            <w:r>
              <w:rPr/>
              <w:t xml:space="preserve">Proceeds, Issue of 10% Loan Notes (A7) </w:t>
            </w:r>
          </w:p>
        </w:tc>
        <w:tc>
          <w:tcPr>
            <w:tcW w:w="916" w:type="dxa"/>
            <w:tcBorders/>
            <w:vAlign w:val="center"/>
          </w:tcPr>
          <w:p>
            <w:pPr>
              <w:pStyle w:val="TableContents"/>
              <w:bidi w:val="0"/>
              <w:spacing w:before="0" w:after="283"/>
              <w:jc w:val="start"/>
              <w:rPr>
                <w:u w:val="single"/>
              </w:rPr>
            </w:pPr>
            <w:r>
              <w:rPr>
                <w:u w:val="single"/>
              </w:rPr>
              <w:t xml:space="preserve">1, 500 </w:t>
            </w:r>
          </w:p>
        </w:tc>
      </w:tr>
      <w:tr>
        <w:trPr/>
        <w:tc>
          <w:tcPr>
            <w:tcW w:w="3320" w:type="dxa"/>
            <w:tcBorders/>
            <w:vAlign w:val="center"/>
          </w:tcPr>
          <w:p>
            <w:pPr>
              <w:pStyle w:val="TableContents"/>
              <w:bidi w:val="0"/>
              <w:spacing w:before="0" w:after="283"/>
              <w:jc w:val="start"/>
              <w:rPr/>
            </w:pPr>
            <w:r>
              <w:rPr/>
              <w:t xml:space="preserve">Net Cash Flow from Financing Activities </w:t>
            </w:r>
          </w:p>
        </w:tc>
        <w:tc>
          <w:tcPr>
            <w:tcW w:w="916" w:type="dxa"/>
            <w:tcBorders/>
            <w:vAlign w:val="center"/>
          </w:tcPr>
          <w:p>
            <w:pPr>
              <w:pStyle w:val="TableContents"/>
              <w:bidi w:val="0"/>
              <w:spacing w:before="0" w:after="283"/>
              <w:jc w:val="start"/>
              <w:rPr>
                <w:u w:val="single"/>
              </w:rPr>
            </w:pPr>
            <w:r>
              <w:rPr>
                <w:u w:val="single"/>
              </w:rPr>
              <w:t xml:space="preserve">1, 550 </w:t>
            </w:r>
          </w:p>
        </w:tc>
      </w:tr>
      <w:tr>
        <w:trPr/>
        <w:tc>
          <w:tcPr>
            <w:tcW w:w="3320" w:type="dxa"/>
            <w:tcBorders/>
            <w:vAlign w:val="center"/>
          </w:tcPr>
          <w:p>
            <w:pPr>
              <w:pStyle w:val="TableContents"/>
              <w:bidi w:val="0"/>
              <w:spacing w:before="0" w:after="283"/>
              <w:jc w:val="start"/>
              <w:rPr/>
            </w:pPr>
            <w:r>
              <w:rPr/>
              <w:t xml:space="preserve">Net Increase in Cash and Cash Equivalents (A8) </w:t>
            </w:r>
          </w:p>
        </w:tc>
        <w:tc>
          <w:tcPr>
            <w:tcW w:w="916" w:type="dxa"/>
            <w:tcBorders/>
            <w:vAlign w:val="center"/>
          </w:tcPr>
          <w:p>
            <w:pPr>
              <w:pStyle w:val="TableContents"/>
              <w:bidi w:val="0"/>
              <w:spacing w:before="0" w:after="283"/>
              <w:jc w:val="start"/>
              <w:rPr/>
            </w:pPr>
            <w:r>
              <w:rPr/>
              <w:t xml:space="preserve">1, 000 </w:t>
            </w:r>
          </w:p>
        </w:tc>
      </w:tr>
      <w:tr>
        <w:trPr/>
        <w:tc>
          <w:tcPr>
            <w:tcW w:w="3320" w:type="dxa"/>
            <w:tcBorders/>
            <w:vAlign w:val="center"/>
          </w:tcPr>
          <w:p>
            <w:pPr>
              <w:pStyle w:val="TableContents"/>
              <w:bidi w:val="0"/>
              <w:spacing w:before="0" w:after="283"/>
              <w:jc w:val="start"/>
              <w:rPr/>
            </w:pPr>
            <w:r>
              <w:rPr/>
              <w:t xml:space="preserve">Cash and Cash Equivalents 1/8/04 (A9) </w:t>
            </w:r>
          </w:p>
        </w:tc>
        <w:tc>
          <w:tcPr>
            <w:tcW w:w="916" w:type="dxa"/>
            <w:tcBorders/>
            <w:vAlign w:val="center"/>
          </w:tcPr>
          <w:p>
            <w:pPr>
              <w:pStyle w:val="TableContents"/>
              <w:bidi w:val="0"/>
              <w:spacing w:before="0" w:after="283"/>
              <w:jc w:val="start"/>
              <w:rPr>
                <w:u w:val="single"/>
              </w:rPr>
            </w:pPr>
            <w:r>
              <w:rPr>
                <w:u w:val="single"/>
              </w:rPr>
              <w:t xml:space="preserve">1, 250 </w:t>
            </w:r>
          </w:p>
        </w:tc>
      </w:tr>
      <w:tr>
        <w:trPr/>
        <w:tc>
          <w:tcPr>
            <w:tcW w:w="3320" w:type="dxa"/>
            <w:tcBorders/>
            <w:vAlign w:val="center"/>
          </w:tcPr>
          <w:p>
            <w:pPr>
              <w:pStyle w:val="TableContents"/>
              <w:bidi w:val="0"/>
              <w:spacing w:before="0" w:after="283"/>
              <w:jc w:val="start"/>
              <w:rPr/>
            </w:pPr>
            <w:r>
              <w:rPr/>
              <w:t xml:space="preserve">Cash and Cash Equivalents 31/7/05 (A10) </w:t>
            </w:r>
          </w:p>
        </w:tc>
        <w:tc>
          <w:tcPr>
            <w:tcW w:w="916" w:type="dxa"/>
            <w:tcBorders/>
            <w:vAlign w:val="center"/>
          </w:tcPr>
          <w:p>
            <w:pPr>
              <w:pStyle w:val="TableContents"/>
              <w:bidi w:val="0"/>
              <w:spacing w:before="0" w:after="283"/>
              <w:jc w:val="start"/>
              <w:rPr>
                <w:u w:val="single"/>
              </w:rPr>
            </w:pPr>
            <w:r>
              <w:rPr>
                <w:u w:val="single"/>
              </w:rPr>
              <w:t xml:space="preserve">2, 250 </w:t>
            </w:r>
          </w:p>
        </w:tc>
      </w:tr>
    </w:tbl>
    <w:tbl>
      <w:tblPr>
        <w:tblW w:w="4236" w:type="dxa"/>
        <w:jc w:val="start"/>
        <w:tblInd w:w="0" w:type="dxa"/>
        <w:tblLayout w:type="fixed"/>
        <w:tblCellMar>
          <w:top w:w="28" w:type="dxa"/>
          <w:start w:w="28" w:type="dxa"/>
          <w:bottom w:w="28" w:type="dxa"/>
          <w:end w:w="28" w:type="dxa"/>
        </w:tblCellMar>
      </w:tblPr>
      <w:tblGrid>
        <w:gridCol w:w="2538"/>
        <w:gridCol w:w="919"/>
        <w:gridCol w:w="779"/>
      </w:tblGrid>
      <w:tr>
        <w:trPr/>
        <w:tc>
          <w:tcPr>
            <w:tcW w:w="2538" w:type="dxa"/>
            <w:tcBorders/>
            <w:vAlign w:val="center"/>
          </w:tcPr>
          <w:p>
            <w:pPr>
              <w:pStyle w:val="TableContents"/>
              <w:bidi w:val="0"/>
              <w:spacing w:before="0" w:after="283"/>
              <w:jc w:val="start"/>
              <w:rPr/>
            </w:pPr>
            <w:r>
              <w:rPr/>
              <w:t xml:space="preserve">Cash and Cash Equivalents: </w:t>
            </w:r>
          </w:p>
        </w:tc>
        <w:tc>
          <w:tcPr>
            <w:tcW w:w="919" w:type="dxa"/>
            <w:tcBorders/>
            <w:vAlign w:val="center"/>
          </w:tcPr>
          <w:p>
            <w:pPr>
              <w:pStyle w:val="TableContents"/>
              <w:bidi w:val="0"/>
              <w:spacing w:before="0" w:after="283"/>
              <w:jc w:val="start"/>
              <w:rPr>
                <w:sz w:val="4"/>
                <w:szCs w:val="4"/>
              </w:rPr>
            </w:pPr>
            <w:r>
              <w:rPr>
                <w:sz w:val="4"/>
                <w:szCs w:val="4"/>
              </w:rPr>
            </w:r>
          </w:p>
        </w:tc>
        <w:tc>
          <w:tcPr>
            <w:tcW w:w="779" w:type="dxa"/>
            <w:tcBorders/>
            <w:vAlign w:val="center"/>
          </w:tcPr>
          <w:p>
            <w:pPr>
              <w:pStyle w:val="TableContents"/>
              <w:bidi w:val="0"/>
              <w:spacing w:before="0" w:after="283"/>
              <w:jc w:val="start"/>
              <w:rPr>
                <w:sz w:val="4"/>
                <w:szCs w:val="4"/>
              </w:rPr>
            </w:pPr>
            <w:r>
              <w:rPr>
                <w:sz w:val="4"/>
                <w:szCs w:val="4"/>
              </w:rPr>
            </w:r>
          </w:p>
        </w:tc>
      </w:tr>
      <w:tr>
        <w:trPr/>
        <w:tc>
          <w:tcPr>
            <w:tcW w:w="2538" w:type="dxa"/>
            <w:tcBorders/>
            <w:vAlign w:val="center"/>
          </w:tcPr>
          <w:p>
            <w:pPr>
              <w:pStyle w:val="TableContents"/>
              <w:bidi w:val="0"/>
              <w:spacing w:before="0" w:after="283"/>
              <w:jc w:val="start"/>
              <w:rPr>
                <w:sz w:val="4"/>
                <w:szCs w:val="4"/>
              </w:rPr>
            </w:pPr>
            <w:r>
              <w:rPr>
                <w:sz w:val="4"/>
                <w:szCs w:val="4"/>
              </w:rPr>
            </w:r>
          </w:p>
        </w:tc>
        <w:tc>
          <w:tcPr>
            <w:tcW w:w="919" w:type="dxa"/>
            <w:tcBorders/>
            <w:vAlign w:val="center"/>
          </w:tcPr>
          <w:p>
            <w:pPr>
              <w:pStyle w:val="TableContents"/>
              <w:bidi w:val="0"/>
              <w:spacing w:before="0" w:after="283"/>
              <w:jc w:val="start"/>
              <w:rPr/>
            </w:pPr>
            <w:r>
              <w:rPr/>
              <w:t xml:space="preserve">(£000’s) </w:t>
            </w:r>
          </w:p>
        </w:tc>
        <w:tc>
          <w:tcPr>
            <w:tcW w:w="779" w:type="dxa"/>
            <w:tcBorders/>
            <w:vAlign w:val="center"/>
          </w:tcPr>
          <w:p>
            <w:pPr>
              <w:pStyle w:val="TableContents"/>
              <w:bidi w:val="0"/>
              <w:spacing w:before="0" w:after="283"/>
              <w:jc w:val="start"/>
              <w:rPr>
                <w:sz w:val="4"/>
                <w:szCs w:val="4"/>
              </w:rPr>
            </w:pPr>
            <w:r>
              <w:rPr>
                <w:sz w:val="4"/>
                <w:szCs w:val="4"/>
              </w:rPr>
            </w:r>
          </w:p>
        </w:tc>
      </w:tr>
      <w:tr>
        <w:trPr/>
        <w:tc>
          <w:tcPr>
            <w:tcW w:w="2538" w:type="dxa"/>
            <w:tcBorders/>
            <w:vAlign w:val="center"/>
          </w:tcPr>
          <w:p>
            <w:pPr>
              <w:pStyle w:val="TableContents"/>
              <w:bidi w:val="0"/>
              <w:spacing w:before="0" w:after="283"/>
              <w:jc w:val="start"/>
              <w:rPr>
                <w:sz w:val="4"/>
                <w:szCs w:val="4"/>
              </w:rPr>
            </w:pPr>
            <w:r>
              <w:rPr>
                <w:sz w:val="4"/>
                <w:szCs w:val="4"/>
              </w:rPr>
            </w:r>
          </w:p>
        </w:tc>
        <w:tc>
          <w:tcPr>
            <w:tcW w:w="919" w:type="dxa"/>
            <w:tcBorders/>
            <w:vAlign w:val="center"/>
          </w:tcPr>
          <w:p>
            <w:pPr>
              <w:pStyle w:val="TableContents"/>
              <w:bidi w:val="0"/>
              <w:spacing w:before="0" w:after="283"/>
              <w:jc w:val="start"/>
              <w:rPr/>
            </w:pPr>
            <w:r>
              <w:rPr/>
              <w:t xml:space="preserve">30 July </w:t>
            </w:r>
          </w:p>
        </w:tc>
        <w:tc>
          <w:tcPr>
            <w:tcW w:w="779" w:type="dxa"/>
            <w:tcBorders/>
            <w:vAlign w:val="center"/>
          </w:tcPr>
          <w:p>
            <w:pPr>
              <w:pStyle w:val="TableContents"/>
              <w:bidi w:val="0"/>
              <w:spacing w:before="0" w:after="283"/>
              <w:jc w:val="start"/>
              <w:rPr>
                <w:sz w:val="4"/>
                <w:szCs w:val="4"/>
              </w:rPr>
            </w:pPr>
            <w:r>
              <w:rPr>
                <w:sz w:val="4"/>
                <w:szCs w:val="4"/>
              </w:rPr>
            </w:r>
          </w:p>
        </w:tc>
      </w:tr>
      <w:tr>
        <w:trPr/>
        <w:tc>
          <w:tcPr>
            <w:tcW w:w="2538" w:type="dxa"/>
            <w:tcBorders/>
            <w:vAlign w:val="center"/>
          </w:tcPr>
          <w:p>
            <w:pPr>
              <w:pStyle w:val="TableContents"/>
              <w:bidi w:val="0"/>
              <w:spacing w:before="0" w:after="283"/>
              <w:jc w:val="start"/>
              <w:rPr>
                <w:sz w:val="4"/>
                <w:szCs w:val="4"/>
              </w:rPr>
            </w:pPr>
            <w:r>
              <w:rPr>
                <w:sz w:val="4"/>
                <w:szCs w:val="4"/>
              </w:rPr>
            </w:r>
          </w:p>
        </w:tc>
        <w:tc>
          <w:tcPr>
            <w:tcW w:w="919" w:type="dxa"/>
            <w:tcBorders/>
            <w:vAlign w:val="center"/>
          </w:tcPr>
          <w:p>
            <w:pPr>
              <w:pStyle w:val="TableContents"/>
              <w:bidi w:val="0"/>
              <w:spacing w:before="0" w:after="283"/>
              <w:jc w:val="start"/>
              <w:rPr/>
            </w:pPr>
            <w:r>
              <w:rPr/>
              <w:t xml:space="preserve">2004 </w:t>
            </w:r>
          </w:p>
        </w:tc>
        <w:tc>
          <w:tcPr>
            <w:tcW w:w="779" w:type="dxa"/>
            <w:tcBorders/>
            <w:vAlign w:val="center"/>
          </w:tcPr>
          <w:p>
            <w:pPr>
              <w:pStyle w:val="TableContents"/>
              <w:bidi w:val="0"/>
              <w:spacing w:before="0" w:after="283"/>
              <w:jc w:val="start"/>
              <w:rPr/>
            </w:pPr>
            <w:r>
              <w:rPr/>
              <w:t xml:space="preserve">2005 </w:t>
            </w:r>
          </w:p>
        </w:tc>
      </w:tr>
      <w:tr>
        <w:trPr/>
        <w:tc>
          <w:tcPr>
            <w:tcW w:w="2538" w:type="dxa"/>
            <w:tcBorders/>
            <w:vAlign w:val="center"/>
          </w:tcPr>
          <w:p>
            <w:pPr>
              <w:pStyle w:val="TableContents"/>
              <w:bidi w:val="0"/>
              <w:spacing w:before="0" w:after="283"/>
              <w:jc w:val="start"/>
              <w:rPr/>
            </w:pPr>
            <w:r>
              <w:rPr/>
              <w:t xml:space="preserve">Cash at Bank </w:t>
            </w:r>
          </w:p>
        </w:tc>
        <w:tc>
          <w:tcPr>
            <w:tcW w:w="919" w:type="dxa"/>
            <w:tcBorders/>
            <w:vAlign w:val="center"/>
          </w:tcPr>
          <w:p>
            <w:pPr>
              <w:pStyle w:val="TableContents"/>
              <w:bidi w:val="0"/>
              <w:spacing w:before="0" w:after="283"/>
              <w:jc w:val="start"/>
              <w:rPr/>
            </w:pPr>
            <w:r>
              <w:rPr/>
              <w:t xml:space="preserve">1, 250 </w:t>
            </w:r>
          </w:p>
        </w:tc>
        <w:tc>
          <w:tcPr>
            <w:tcW w:w="779" w:type="dxa"/>
            <w:tcBorders/>
            <w:vAlign w:val="center"/>
          </w:tcPr>
          <w:p>
            <w:pPr>
              <w:pStyle w:val="TableContents"/>
              <w:bidi w:val="0"/>
              <w:spacing w:before="0" w:after="283"/>
              <w:jc w:val="start"/>
              <w:rPr/>
            </w:pPr>
            <w:r>
              <w:rPr/>
              <w:t xml:space="preserve">2, 250 </w:t>
            </w:r>
          </w:p>
        </w:tc>
      </w:tr>
    </w:tbl>
    <w:p>
      <w:pPr>
        <w:pStyle w:val="TextBody"/>
        <w:bidi w:val="0"/>
        <w:spacing w:before="0" w:after="283"/>
        <w:jc w:val="start"/>
        <w:rPr/>
      </w:pPr>
      <w:r>
        <w:rPr/>
        <w:t xml:space="preserve">Notes for Guidance </w:t>
      </w:r>
    </w:p>
    <w:p>
      <w:pPr>
        <w:pStyle w:val="TextBody"/>
        <w:bidi w:val="0"/>
        <w:spacing w:before="0" w:after="283"/>
        <w:jc w:val="start"/>
        <w:rPr/>
      </w:pPr>
      <w:r>
        <w:rPr/>
        <w:t xml:space="preserve">(1) Net profit before tax is taken from the extract of the income statement. </w:t>
      </w:r>
    </w:p>
    <w:p>
      <w:pPr>
        <w:pStyle w:val="TextBody"/>
        <w:bidi w:val="0"/>
        <w:spacing w:before="0" w:after="283"/>
        <w:jc w:val="start"/>
        <w:rPr/>
      </w:pPr>
      <w:r>
        <w:rPr/>
        <w:t xml:space="preserve">(2) Depreciation is shown as a note to the income statement. </w:t>
      </w:r>
    </w:p>
    <w:p>
      <w:pPr>
        <w:pStyle w:val="TextBody"/>
        <w:bidi w:val="0"/>
        <w:spacing w:before="0" w:after="283"/>
        <w:jc w:val="start"/>
        <w:rPr/>
      </w:pPr>
      <w:r>
        <w:rPr/>
        <w:t xml:space="preserve">(3) Loss on sale of the non-current asset; proceeds minus (cost less depreciation to date) see note A1 below. </w:t>
      </w:r>
    </w:p>
    <w:p>
      <w:pPr>
        <w:pStyle w:val="TextBody"/>
        <w:bidi w:val="0"/>
        <w:spacing w:before="0" w:after="283"/>
        <w:jc w:val="start"/>
        <w:rPr/>
      </w:pPr>
      <w:r>
        <w:rPr/>
        <w:t xml:space="preserve">(4) Interest expense is shown on income statement. </w:t>
      </w:r>
    </w:p>
    <w:p>
      <w:pPr>
        <w:pStyle w:val="TextBody"/>
        <w:bidi w:val="0"/>
        <w:jc w:val="start"/>
        <w:rPr>
          <w:u w:val="single"/>
        </w:rPr>
      </w:pPr>
      <w:r>
        <w:rPr>
          <w:u w:val="single"/>
        </w:rPr>
        <w:t xml:space="preserve">Changes in Working Capital Structure: </w:t>
      </w:r>
    </w:p>
    <w:p>
      <w:pPr>
        <w:pStyle w:val="TextBody"/>
        <w:bidi w:val="0"/>
        <w:spacing w:before="0" w:after="283"/>
        <w:jc w:val="start"/>
        <w:rPr/>
      </w:pPr>
      <w:r>
        <w:rPr/>
        <w:t xml:space="preserve">Inventory, receivables and payables are differences in opening and closing balances shown on the balance sheet. </w:t>
      </w:r>
    </w:p>
    <w:tbl>
      <w:tblPr>
        <w:tblW w:w="4236" w:type="dxa"/>
        <w:jc w:val="start"/>
        <w:tblInd w:w="0" w:type="dxa"/>
        <w:tblLayout w:type="fixed"/>
        <w:tblCellMar>
          <w:top w:w="28" w:type="dxa"/>
          <w:start w:w="28" w:type="dxa"/>
          <w:bottom w:w="28" w:type="dxa"/>
          <w:end w:w="28" w:type="dxa"/>
        </w:tblCellMar>
      </w:tblPr>
      <w:tblGrid>
        <w:gridCol w:w="3353"/>
        <w:gridCol w:w="883"/>
      </w:tblGrid>
      <w:tr>
        <w:trPr/>
        <w:tc>
          <w:tcPr>
            <w:tcW w:w="3353" w:type="dxa"/>
            <w:tcBorders/>
            <w:vAlign w:val="center"/>
          </w:tcPr>
          <w:p>
            <w:pPr>
              <w:pStyle w:val="TableContents"/>
              <w:bidi w:val="0"/>
              <w:spacing w:before="0" w:after="283"/>
              <w:jc w:val="start"/>
              <w:rPr/>
            </w:pPr>
            <w:r>
              <w:rPr/>
              <w:t xml:space="preserve">Note (A1) </w:t>
            </w:r>
          </w:p>
        </w:tc>
        <w:tc>
          <w:tcPr>
            <w:tcW w:w="883" w:type="dxa"/>
            <w:tcBorders/>
            <w:vAlign w:val="center"/>
          </w:tcPr>
          <w:p>
            <w:pPr>
              <w:pStyle w:val="TableContents"/>
              <w:bidi w:val="0"/>
              <w:spacing w:before="0" w:after="283"/>
              <w:jc w:val="start"/>
              <w:rPr/>
            </w:pPr>
            <w:r>
              <w:rPr/>
              <w:t xml:space="preserve">(£000’s) </w:t>
            </w:r>
          </w:p>
        </w:tc>
      </w:tr>
      <w:tr>
        <w:trPr/>
        <w:tc>
          <w:tcPr>
            <w:tcW w:w="3353" w:type="dxa"/>
            <w:tcBorders/>
            <w:vAlign w:val="center"/>
          </w:tcPr>
          <w:p>
            <w:pPr>
              <w:pStyle w:val="TableContents"/>
              <w:bidi w:val="0"/>
              <w:spacing w:before="0" w:after="283"/>
              <w:jc w:val="start"/>
              <w:rPr/>
            </w:pPr>
            <w:r>
              <w:rPr/>
              <w:t xml:space="preserve">Proceeds of Sale </w:t>
            </w:r>
          </w:p>
        </w:tc>
        <w:tc>
          <w:tcPr>
            <w:tcW w:w="883" w:type="dxa"/>
            <w:tcBorders/>
            <w:vAlign w:val="center"/>
          </w:tcPr>
          <w:p>
            <w:pPr>
              <w:pStyle w:val="TableContents"/>
              <w:bidi w:val="0"/>
              <w:spacing w:before="0" w:after="283"/>
              <w:jc w:val="start"/>
              <w:rPr/>
            </w:pPr>
            <w:r>
              <w:rPr/>
              <w:t xml:space="preserve">300 </w:t>
            </w:r>
          </w:p>
        </w:tc>
      </w:tr>
      <w:tr>
        <w:trPr/>
        <w:tc>
          <w:tcPr>
            <w:tcW w:w="3353" w:type="dxa"/>
            <w:tcBorders/>
            <w:vAlign w:val="center"/>
          </w:tcPr>
          <w:p>
            <w:pPr>
              <w:pStyle w:val="TableContents"/>
              <w:bidi w:val="0"/>
              <w:spacing w:before="0" w:after="283"/>
              <w:jc w:val="start"/>
              <w:rPr/>
            </w:pPr>
            <w:r>
              <w:rPr/>
              <w:t xml:space="preserve">Non-current Assets (Cost 500 – Deprecation to Date 175) </w:t>
            </w:r>
          </w:p>
        </w:tc>
        <w:tc>
          <w:tcPr>
            <w:tcW w:w="883" w:type="dxa"/>
            <w:tcBorders/>
            <w:vAlign w:val="center"/>
          </w:tcPr>
          <w:p>
            <w:pPr>
              <w:pStyle w:val="TableContents"/>
              <w:bidi w:val="0"/>
              <w:spacing w:before="0" w:after="283"/>
              <w:jc w:val="start"/>
              <w:rPr>
                <w:u w:val="single"/>
              </w:rPr>
            </w:pPr>
            <w:r>
              <w:rPr>
                <w:u w:val="single"/>
              </w:rPr>
              <w:t xml:space="preserve">325 </w:t>
            </w:r>
          </w:p>
        </w:tc>
      </w:tr>
      <w:tr>
        <w:trPr/>
        <w:tc>
          <w:tcPr>
            <w:tcW w:w="3353" w:type="dxa"/>
            <w:tcBorders/>
            <w:vAlign w:val="center"/>
          </w:tcPr>
          <w:p>
            <w:pPr>
              <w:pStyle w:val="TableContents"/>
              <w:bidi w:val="0"/>
              <w:spacing w:before="0" w:after="283"/>
              <w:jc w:val="start"/>
              <w:rPr/>
            </w:pPr>
            <w:r>
              <w:rPr/>
              <w:t xml:space="preserve">Loss on Sale </w:t>
            </w:r>
          </w:p>
        </w:tc>
        <w:tc>
          <w:tcPr>
            <w:tcW w:w="883" w:type="dxa"/>
            <w:tcBorders/>
            <w:vAlign w:val="center"/>
          </w:tcPr>
          <w:p>
            <w:pPr>
              <w:pStyle w:val="TableContents"/>
              <w:bidi w:val="0"/>
              <w:spacing w:before="0" w:after="283"/>
              <w:jc w:val="start"/>
              <w:rPr>
                <w:u w:val="single"/>
              </w:rPr>
            </w:pPr>
            <w:r>
              <w:rPr>
                <w:u w:val="single"/>
              </w:rPr>
              <w:t xml:space="preserve">25 </w:t>
            </w:r>
          </w:p>
        </w:tc>
      </w:tr>
    </w:tbl>
    <w:p>
      <w:pPr>
        <w:pStyle w:val="TextBody"/>
        <w:bidi w:val="0"/>
        <w:spacing w:before="0" w:after="283"/>
        <w:jc w:val="start"/>
        <w:rPr/>
      </w:pPr>
      <w:r>
        <w:rPr/>
        <w:t xml:space="preserve">Disposal Account </w:t>
      </w:r>
    </w:p>
    <w:p>
      <w:pPr>
        <w:pStyle w:val="TextBody"/>
        <w:bidi w:val="0"/>
        <w:spacing w:before="0" w:after="283"/>
        <w:jc w:val="start"/>
        <w:rPr/>
      </w:pPr>
      <w:r>
        <w:rPr/>
        <w:t xml:space="preserve">(£000’s) Non-Current Assets </w:t>
      </w:r>
    </w:p>
    <w:tbl>
      <w:tblPr>
        <w:tblW w:w="4236" w:type="dxa"/>
        <w:jc w:val="start"/>
        <w:tblInd w:w="0" w:type="dxa"/>
        <w:tblLayout w:type="fixed"/>
        <w:tblCellMar>
          <w:top w:w="28" w:type="dxa"/>
          <w:start w:w="28" w:type="dxa"/>
          <w:bottom w:w="28" w:type="dxa"/>
          <w:end w:w="28" w:type="dxa"/>
        </w:tblCellMar>
      </w:tblPr>
      <w:tblGrid>
        <w:gridCol w:w="990"/>
        <w:gridCol w:w="519"/>
        <w:gridCol w:w="2162"/>
        <w:gridCol w:w="565"/>
      </w:tblGrid>
      <w:tr>
        <w:trPr/>
        <w:tc>
          <w:tcPr>
            <w:tcW w:w="990" w:type="dxa"/>
            <w:tcBorders/>
            <w:vAlign w:val="center"/>
          </w:tcPr>
          <w:p>
            <w:pPr>
              <w:pStyle w:val="TableContents"/>
              <w:bidi w:val="0"/>
              <w:spacing w:before="0" w:after="283"/>
              <w:jc w:val="start"/>
              <w:rPr/>
            </w:pPr>
            <w:r>
              <w:rPr/>
              <w:t xml:space="preserve">Asset a/c </w:t>
            </w:r>
          </w:p>
        </w:tc>
        <w:tc>
          <w:tcPr>
            <w:tcW w:w="519" w:type="dxa"/>
            <w:tcBorders/>
            <w:vAlign w:val="center"/>
          </w:tcPr>
          <w:p>
            <w:pPr>
              <w:pStyle w:val="TableContents"/>
              <w:bidi w:val="0"/>
              <w:spacing w:before="0" w:after="283"/>
              <w:jc w:val="start"/>
              <w:rPr/>
            </w:pPr>
            <w:r>
              <w:rPr/>
              <w:t xml:space="preserve">500 </w:t>
            </w:r>
          </w:p>
        </w:tc>
        <w:tc>
          <w:tcPr>
            <w:tcW w:w="2162" w:type="dxa"/>
            <w:tcBorders/>
            <w:vAlign w:val="center"/>
          </w:tcPr>
          <w:p>
            <w:pPr>
              <w:pStyle w:val="TableContents"/>
              <w:bidi w:val="0"/>
              <w:spacing w:before="0" w:after="283"/>
              <w:jc w:val="start"/>
              <w:rPr/>
            </w:pPr>
            <w:r>
              <w:rPr/>
              <w:t xml:space="preserve">Deprecation Provision </w:t>
            </w:r>
          </w:p>
        </w:tc>
        <w:tc>
          <w:tcPr>
            <w:tcW w:w="565" w:type="dxa"/>
            <w:tcBorders/>
            <w:vAlign w:val="center"/>
          </w:tcPr>
          <w:p>
            <w:pPr>
              <w:pStyle w:val="TableContents"/>
              <w:bidi w:val="0"/>
              <w:spacing w:before="0" w:after="283"/>
              <w:jc w:val="start"/>
              <w:rPr/>
            </w:pPr>
            <w:r>
              <w:rPr/>
              <w:t xml:space="preserve">175 </w:t>
            </w:r>
          </w:p>
        </w:tc>
      </w:tr>
      <w:tr>
        <w:trPr/>
        <w:tc>
          <w:tcPr>
            <w:tcW w:w="990" w:type="dxa"/>
            <w:tcBorders/>
            <w:vAlign w:val="center"/>
          </w:tcPr>
          <w:p>
            <w:pPr>
              <w:pStyle w:val="TableContents"/>
              <w:bidi w:val="0"/>
              <w:spacing w:before="0" w:after="283"/>
              <w:jc w:val="start"/>
              <w:rPr>
                <w:sz w:val="4"/>
                <w:szCs w:val="4"/>
              </w:rPr>
            </w:pPr>
            <w:r>
              <w:rPr>
                <w:sz w:val="4"/>
                <w:szCs w:val="4"/>
              </w:rPr>
            </w:r>
          </w:p>
        </w:tc>
        <w:tc>
          <w:tcPr>
            <w:tcW w:w="519" w:type="dxa"/>
            <w:tcBorders/>
            <w:vAlign w:val="center"/>
          </w:tcPr>
          <w:p>
            <w:pPr>
              <w:pStyle w:val="TableContents"/>
              <w:bidi w:val="0"/>
              <w:spacing w:before="0" w:after="283"/>
              <w:jc w:val="start"/>
              <w:rPr>
                <w:sz w:val="4"/>
                <w:szCs w:val="4"/>
              </w:rPr>
            </w:pPr>
            <w:r>
              <w:rPr>
                <w:sz w:val="4"/>
                <w:szCs w:val="4"/>
              </w:rPr>
            </w:r>
          </w:p>
        </w:tc>
        <w:tc>
          <w:tcPr>
            <w:tcW w:w="2162" w:type="dxa"/>
            <w:tcBorders/>
            <w:vAlign w:val="center"/>
          </w:tcPr>
          <w:p>
            <w:pPr>
              <w:pStyle w:val="TableContents"/>
              <w:bidi w:val="0"/>
              <w:spacing w:before="0" w:after="283"/>
              <w:jc w:val="start"/>
              <w:rPr/>
            </w:pPr>
            <w:r>
              <w:rPr/>
              <w:t xml:space="preserve">Proceeds Cash </w:t>
            </w:r>
          </w:p>
        </w:tc>
        <w:tc>
          <w:tcPr>
            <w:tcW w:w="565" w:type="dxa"/>
            <w:tcBorders/>
            <w:vAlign w:val="center"/>
          </w:tcPr>
          <w:p>
            <w:pPr>
              <w:pStyle w:val="TableContents"/>
              <w:bidi w:val="0"/>
              <w:spacing w:before="0" w:after="283"/>
              <w:jc w:val="start"/>
              <w:rPr/>
            </w:pPr>
            <w:r>
              <w:rPr/>
              <w:t xml:space="preserve">300 </w:t>
            </w:r>
          </w:p>
        </w:tc>
      </w:tr>
      <w:tr>
        <w:trPr/>
        <w:tc>
          <w:tcPr>
            <w:tcW w:w="990" w:type="dxa"/>
            <w:tcBorders/>
            <w:vAlign w:val="center"/>
          </w:tcPr>
          <w:p>
            <w:pPr>
              <w:pStyle w:val="TableContents"/>
              <w:bidi w:val="0"/>
              <w:spacing w:before="0" w:after="283"/>
              <w:jc w:val="start"/>
              <w:rPr>
                <w:sz w:val="4"/>
                <w:szCs w:val="4"/>
              </w:rPr>
            </w:pPr>
            <w:r>
              <w:rPr>
                <w:sz w:val="4"/>
                <w:szCs w:val="4"/>
              </w:rPr>
            </w:r>
          </w:p>
        </w:tc>
        <w:tc>
          <w:tcPr>
            <w:tcW w:w="519" w:type="dxa"/>
            <w:tcBorders/>
            <w:vAlign w:val="center"/>
          </w:tcPr>
          <w:p>
            <w:pPr>
              <w:pStyle w:val="TableContents"/>
              <w:bidi w:val="0"/>
              <w:spacing w:before="0" w:after="283"/>
              <w:jc w:val="start"/>
              <w:rPr/>
            </w:pPr>
            <w:r>
              <w:rPr/>
              <w:t xml:space="preserve">___ </w:t>
            </w:r>
          </w:p>
        </w:tc>
        <w:tc>
          <w:tcPr>
            <w:tcW w:w="2162" w:type="dxa"/>
            <w:tcBorders/>
            <w:vAlign w:val="center"/>
          </w:tcPr>
          <w:p>
            <w:pPr>
              <w:pStyle w:val="TableContents"/>
              <w:bidi w:val="0"/>
              <w:spacing w:before="0" w:after="283"/>
              <w:jc w:val="start"/>
              <w:rPr/>
            </w:pPr>
            <w:r>
              <w:rPr/>
              <w:t xml:space="preserve">Profit and Loss a/c </w:t>
            </w:r>
          </w:p>
        </w:tc>
        <w:tc>
          <w:tcPr>
            <w:tcW w:w="565" w:type="dxa"/>
            <w:tcBorders/>
            <w:vAlign w:val="center"/>
          </w:tcPr>
          <w:p>
            <w:pPr>
              <w:pStyle w:val="TableContents"/>
              <w:bidi w:val="0"/>
              <w:spacing w:before="0" w:after="283"/>
              <w:jc w:val="start"/>
              <w:rPr>
                <w:u w:val="single"/>
              </w:rPr>
            </w:pPr>
            <w:r>
              <w:rPr>
                <w:u w:val="single"/>
              </w:rPr>
              <w:t xml:space="preserve">25 </w:t>
            </w:r>
          </w:p>
        </w:tc>
      </w:tr>
      <w:tr>
        <w:trPr/>
        <w:tc>
          <w:tcPr>
            <w:tcW w:w="990" w:type="dxa"/>
            <w:tcBorders/>
            <w:vAlign w:val="center"/>
          </w:tcPr>
          <w:p>
            <w:pPr>
              <w:pStyle w:val="TableContents"/>
              <w:bidi w:val="0"/>
              <w:spacing w:before="0" w:after="283"/>
              <w:jc w:val="start"/>
              <w:rPr>
                <w:sz w:val="4"/>
                <w:szCs w:val="4"/>
              </w:rPr>
            </w:pPr>
            <w:r>
              <w:rPr>
                <w:sz w:val="4"/>
                <w:szCs w:val="4"/>
              </w:rPr>
            </w:r>
          </w:p>
        </w:tc>
        <w:tc>
          <w:tcPr>
            <w:tcW w:w="519" w:type="dxa"/>
            <w:tcBorders/>
            <w:vAlign w:val="center"/>
          </w:tcPr>
          <w:p>
            <w:pPr>
              <w:pStyle w:val="TableContents"/>
              <w:bidi w:val="0"/>
              <w:spacing w:before="0" w:after="283"/>
              <w:jc w:val="start"/>
              <w:rPr>
                <w:u w:val="single"/>
              </w:rPr>
            </w:pPr>
            <w:r>
              <w:rPr>
                <w:u w:val="single"/>
              </w:rPr>
              <w:t xml:space="preserve">500 </w:t>
            </w:r>
          </w:p>
        </w:tc>
        <w:tc>
          <w:tcPr>
            <w:tcW w:w="2162" w:type="dxa"/>
            <w:tcBorders/>
            <w:vAlign w:val="center"/>
          </w:tcPr>
          <w:p>
            <w:pPr>
              <w:pStyle w:val="TableContents"/>
              <w:bidi w:val="0"/>
              <w:spacing w:before="0" w:after="283"/>
              <w:jc w:val="start"/>
              <w:rPr>
                <w:sz w:val="4"/>
                <w:szCs w:val="4"/>
              </w:rPr>
            </w:pPr>
            <w:r>
              <w:rPr>
                <w:sz w:val="4"/>
                <w:szCs w:val="4"/>
              </w:rPr>
            </w:r>
          </w:p>
        </w:tc>
        <w:tc>
          <w:tcPr>
            <w:tcW w:w="565" w:type="dxa"/>
            <w:tcBorders/>
            <w:vAlign w:val="center"/>
          </w:tcPr>
          <w:p>
            <w:pPr>
              <w:pStyle w:val="TableContents"/>
              <w:bidi w:val="0"/>
              <w:spacing w:before="0" w:after="283"/>
              <w:jc w:val="start"/>
              <w:rPr>
                <w:u w:val="single"/>
              </w:rPr>
            </w:pPr>
            <w:r>
              <w:rPr>
                <w:u w:val="single"/>
              </w:rPr>
              <w:t xml:space="preserve">500 </w:t>
            </w:r>
          </w:p>
        </w:tc>
      </w:tr>
    </w:tbl>
    <w:p>
      <w:pPr>
        <w:pStyle w:val="TextBody"/>
        <w:bidi w:val="0"/>
        <w:spacing w:before="0" w:after="283"/>
        <w:jc w:val="start"/>
        <w:rPr/>
      </w:pPr>
      <w:r>
        <w:rPr/>
        <w:t xml:space="preserve">Notes: (A2, A3 and A4) </w:t>
      </w:r>
    </w:p>
    <w:p>
      <w:pPr>
        <w:pStyle w:val="TextBody"/>
        <w:bidi w:val="0"/>
        <w:spacing w:before="0" w:after="283"/>
        <w:jc w:val="start"/>
        <w:rPr/>
      </w:pPr>
      <w:r>
        <w:rPr/>
        <w:t xml:space="preserve">The interest paid is the net interest cost shown on the income statement and is the 10% charge on loan notes shown on the balance sheet for June 2000. </w:t>
      </w:r>
    </w:p>
    <w:p>
      <w:pPr>
        <w:pStyle w:val="TextBody"/>
        <w:bidi w:val="0"/>
        <w:spacing w:before="0" w:after="283"/>
        <w:jc w:val="start"/>
        <w:rPr/>
      </w:pPr>
      <w:r>
        <w:rPr/>
        <w:t xml:space="preserve">The dividend and tax paid in the year are those shown on the 1999 balance sheet extract under the heading Current Liabilities. </w:t>
      </w:r>
    </w:p>
    <w:tbl>
      <w:tblPr>
        <w:tblW w:w="4236" w:type="dxa"/>
        <w:jc w:val="start"/>
        <w:tblInd w:w="0" w:type="dxa"/>
        <w:tblLayout w:type="fixed"/>
        <w:tblCellMar>
          <w:top w:w="28" w:type="dxa"/>
          <w:start w:w="28" w:type="dxa"/>
          <w:bottom w:w="28" w:type="dxa"/>
          <w:end w:w="28" w:type="dxa"/>
        </w:tblCellMar>
      </w:tblPr>
      <w:tblGrid>
        <w:gridCol w:w="751"/>
        <w:gridCol w:w="1081"/>
        <w:gridCol w:w="286"/>
        <w:gridCol w:w="916"/>
        <w:gridCol w:w="871"/>
        <w:gridCol w:w="331"/>
      </w:tblGrid>
      <w:tr>
        <w:trPr/>
        <w:tc>
          <w:tcPr>
            <w:tcW w:w="751" w:type="dxa"/>
            <w:tcBorders/>
            <w:vAlign w:val="center"/>
          </w:tcPr>
          <w:p>
            <w:pPr>
              <w:pStyle w:val="TableContents"/>
              <w:bidi w:val="0"/>
              <w:spacing w:before="0" w:after="283"/>
              <w:jc w:val="start"/>
              <w:rPr/>
            </w:pPr>
            <w:r>
              <w:rPr/>
              <w:t xml:space="preserve">($000’s) </w:t>
            </w:r>
          </w:p>
        </w:tc>
        <w:tc>
          <w:tcPr>
            <w:tcW w:w="1081" w:type="dxa"/>
            <w:tcBorders/>
            <w:vAlign w:val="center"/>
          </w:tcPr>
          <w:p>
            <w:pPr>
              <w:pStyle w:val="TableContents"/>
              <w:bidi w:val="0"/>
              <w:spacing w:before="0" w:after="283"/>
              <w:jc w:val="start"/>
              <w:rPr/>
            </w:pPr>
            <w:r>
              <w:rPr/>
              <w:t xml:space="preserve">Dividends Account </w:t>
            </w:r>
          </w:p>
        </w:tc>
        <w:tc>
          <w:tcPr>
            <w:tcW w:w="286"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c>
          <w:tcPr>
            <w:tcW w:w="331" w:type="dxa"/>
            <w:tcBorders/>
            <w:vAlign w:val="center"/>
          </w:tcPr>
          <w:p>
            <w:pPr>
              <w:pStyle w:val="TableContents"/>
              <w:bidi w:val="0"/>
              <w:spacing w:before="0" w:after="283"/>
              <w:jc w:val="start"/>
              <w:rPr>
                <w:sz w:val="4"/>
                <w:szCs w:val="4"/>
              </w:rPr>
            </w:pPr>
            <w:r>
              <w:rPr>
                <w:sz w:val="4"/>
                <w:szCs w:val="4"/>
              </w:rPr>
            </w:r>
          </w:p>
        </w:tc>
      </w:tr>
      <w:tr>
        <w:trPr/>
        <w:tc>
          <w:tcPr>
            <w:tcW w:w="751" w:type="dxa"/>
            <w:tcBorders/>
            <w:vAlign w:val="center"/>
          </w:tcPr>
          <w:p>
            <w:pPr>
              <w:pStyle w:val="TableContents"/>
              <w:bidi w:val="0"/>
              <w:spacing w:before="0" w:after="283"/>
              <w:jc w:val="start"/>
              <w:rPr/>
            </w:pPr>
            <w:r>
              <w:rPr/>
              <w:t xml:space="preserve">2004/2005 </w:t>
            </w:r>
          </w:p>
        </w:tc>
        <w:tc>
          <w:tcPr>
            <w:tcW w:w="1081" w:type="dxa"/>
            <w:tcBorders/>
            <w:vAlign w:val="center"/>
          </w:tcPr>
          <w:p>
            <w:pPr>
              <w:pStyle w:val="TableContents"/>
              <w:bidi w:val="0"/>
              <w:spacing w:before="0" w:after="283"/>
              <w:jc w:val="start"/>
              <w:rPr/>
            </w:pPr>
            <w:r>
              <w:rPr/>
              <w:t xml:space="preserve">Bank </w:t>
            </w:r>
          </w:p>
        </w:tc>
        <w:tc>
          <w:tcPr>
            <w:tcW w:w="286" w:type="dxa"/>
            <w:tcBorders/>
            <w:vAlign w:val="center"/>
          </w:tcPr>
          <w:p>
            <w:pPr>
              <w:pStyle w:val="TableContents"/>
              <w:bidi w:val="0"/>
              <w:spacing w:before="0" w:after="283"/>
              <w:jc w:val="start"/>
              <w:rPr/>
            </w:pPr>
            <w:r>
              <w:rPr/>
              <w:t xml:space="preserve">2, 000 </w:t>
            </w:r>
          </w:p>
        </w:tc>
        <w:tc>
          <w:tcPr>
            <w:tcW w:w="916" w:type="dxa"/>
            <w:tcBorders/>
            <w:vAlign w:val="center"/>
          </w:tcPr>
          <w:p>
            <w:pPr>
              <w:pStyle w:val="TableContents"/>
              <w:bidi w:val="0"/>
              <w:spacing w:before="0" w:after="283"/>
              <w:jc w:val="start"/>
              <w:rPr/>
            </w:pPr>
            <w:r>
              <w:rPr/>
              <w:t xml:space="preserve">1August 2004 </w:t>
            </w:r>
          </w:p>
        </w:tc>
        <w:tc>
          <w:tcPr>
            <w:tcW w:w="871" w:type="dxa"/>
            <w:tcBorders/>
            <w:vAlign w:val="center"/>
          </w:tcPr>
          <w:p>
            <w:pPr>
              <w:pStyle w:val="TableContents"/>
              <w:bidi w:val="0"/>
              <w:spacing w:before="0" w:after="283"/>
              <w:jc w:val="start"/>
              <w:rPr/>
            </w:pPr>
            <w:r>
              <w:rPr/>
              <w:t xml:space="preserve">Balance b/d </w:t>
            </w:r>
          </w:p>
        </w:tc>
        <w:tc>
          <w:tcPr>
            <w:tcW w:w="331" w:type="dxa"/>
            <w:tcBorders/>
            <w:vAlign w:val="center"/>
          </w:tcPr>
          <w:p>
            <w:pPr>
              <w:pStyle w:val="TableContents"/>
              <w:bidi w:val="0"/>
              <w:spacing w:before="0" w:after="283"/>
              <w:jc w:val="start"/>
              <w:rPr/>
            </w:pPr>
            <w:r>
              <w:rPr/>
              <w:t xml:space="preserve">2, 000 </w:t>
            </w:r>
          </w:p>
        </w:tc>
      </w:tr>
      <w:tr>
        <w:trPr/>
        <w:tc>
          <w:tcPr>
            <w:tcW w:w="75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sz w:val="4"/>
                <w:szCs w:val="4"/>
              </w:rPr>
            </w:pPr>
            <w:r>
              <w:rPr>
                <w:sz w:val="4"/>
                <w:szCs w:val="4"/>
              </w:rPr>
            </w:r>
          </w:p>
        </w:tc>
        <w:tc>
          <w:tcPr>
            <w:tcW w:w="916" w:type="dxa"/>
            <w:tcBorders/>
            <w:vAlign w:val="center"/>
          </w:tcPr>
          <w:p>
            <w:pPr>
              <w:pStyle w:val="TableContents"/>
              <w:bidi w:val="0"/>
              <w:spacing w:before="0" w:after="283"/>
              <w:jc w:val="start"/>
              <w:rPr/>
            </w:pPr>
            <w:r>
              <w:rPr/>
              <w:t xml:space="preserve">31 July 2005 </w:t>
            </w:r>
          </w:p>
        </w:tc>
        <w:tc>
          <w:tcPr>
            <w:tcW w:w="871" w:type="dxa"/>
            <w:tcBorders/>
            <w:vAlign w:val="center"/>
          </w:tcPr>
          <w:p>
            <w:pPr>
              <w:pStyle w:val="TableContents"/>
              <w:bidi w:val="0"/>
              <w:spacing w:before="0" w:after="283"/>
              <w:jc w:val="start"/>
              <w:rPr/>
            </w:pPr>
            <w:r>
              <w:rPr/>
              <w:t xml:space="preserve">P/L App </w:t>
            </w:r>
          </w:p>
        </w:tc>
        <w:tc>
          <w:tcPr>
            <w:tcW w:w="331" w:type="dxa"/>
            <w:tcBorders/>
            <w:vAlign w:val="center"/>
          </w:tcPr>
          <w:p>
            <w:pPr>
              <w:pStyle w:val="TableContents"/>
              <w:bidi w:val="0"/>
              <w:spacing w:before="0" w:after="283"/>
              <w:jc w:val="start"/>
              <w:rPr/>
            </w:pPr>
            <w:r>
              <w:rPr/>
              <w:t xml:space="preserve">2, 150 </w:t>
            </w:r>
          </w:p>
        </w:tc>
      </w:tr>
      <w:tr>
        <w:trPr/>
        <w:tc>
          <w:tcPr>
            <w:tcW w:w="751" w:type="dxa"/>
            <w:tcBorders/>
            <w:vAlign w:val="center"/>
          </w:tcPr>
          <w:p>
            <w:pPr>
              <w:pStyle w:val="TableContents"/>
              <w:bidi w:val="0"/>
              <w:spacing w:before="0" w:after="283"/>
              <w:jc w:val="start"/>
              <w:rPr/>
            </w:pPr>
            <w:r>
              <w:rPr/>
              <w:t xml:space="preserve">31 July 2005 </w:t>
            </w:r>
          </w:p>
        </w:tc>
        <w:tc>
          <w:tcPr>
            <w:tcW w:w="1081" w:type="dxa"/>
            <w:tcBorders/>
            <w:vAlign w:val="center"/>
          </w:tcPr>
          <w:p>
            <w:pPr>
              <w:pStyle w:val="TableContents"/>
              <w:bidi w:val="0"/>
              <w:spacing w:before="0" w:after="283"/>
              <w:jc w:val="start"/>
              <w:rPr/>
            </w:pPr>
            <w:r>
              <w:rPr/>
              <w:t xml:space="preserve">Balance c/d </w:t>
            </w:r>
          </w:p>
        </w:tc>
        <w:tc>
          <w:tcPr>
            <w:tcW w:w="286" w:type="dxa"/>
            <w:tcBorders/>
            <w:vAlign w:val="center"/>
          </w:tcPr>
          <w:p>
            <w:pPr>
              <w:pStyle w:val="TableContents"/>
              <w:bidi w:val="0"/>
              <w:spacing w:before="0" w:after="283"/>
              <w:jc w:val="start"/>
              <w:rPr>
                <w:u w:val="single"/>
              </w:rPr>
            </w:pPr>
            <w:r>
              <w:rPr>
                <w:u w:val="single"/>
              </w:rPr>
              <w:t xml:space="preserve">2, 150 </w:t>
            </w:r>
          </w:p>
        </w:tc>
        <w:tc>
          <w:tcPr>
            <w:tcW w:w="916"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c>
          <w:tcPr>
            <w:tcW w:w="331" w:type="dxa"/>
            <w:tcBorders/>
            <w:vAlign w:val="center"/>
          </w:tcPr>
          <w:p>
            <w:pPr>
              <w:pStyle w:val="TableContents"/>
              <w:bidi w:val="0"/>
              <w:spacing w:before="0" w:after="283"/>
              <w:jc w:val="start"/>
              <w:rPr/>
            </w:pPr>
            <w:r>
              <w:rPr/>
              <w:t xml:space="preserve">____ </w:t>
            </w:r>
          </w:p>
        </w:tc>
      </w:tr>
      <w:tr>
        <w:trPr/>
        <w:tc>
          <w:tcPr>
            <w:tcW w:w="751" w:type="dxa"/>
            <w:tcBorders/>
            <w:vAlign w:val="center"/>
          </w:tcPr>
          <w:p>
            <w:pPr>
              <w:pStyle w:val="TableContents"/>
              <w:bidi w:val="0"/>
              <w:spacing w:before="0" w:after="283"/>
              <w:jc w:val="start"/>
              <w:rPr>
                <w:sz w:val="4"/>
                <w:szCs w:val="4"/>
              </w:rPr>
            </w:pPr>
            <w:r>
              <w:rPr>
                <w:sz w:val="4"/>
                <w:szCs w:val="4"/>
              </w:rPr>
            </w:r>
          </w:p>
        </w:tc>
        <w:tc>
          <w:tcPr>
            <w:tcW w:w="1081" w:type="dxa"/>
            <w:tcBorders/>
            <w:vAlign w:val="center"/>
          </w:tcPr>
          <w:p>
            <w:pPr>
              <w:pStyle w:val="TableContents"/>
              <w:bidi w:val="0"/>
              <w:spacing w:before="0" w:after="283"/>
              <w:jc w:val="start"/>
              <w:rPr>
                <w:sz w:val="4"/>
                <w:szCs w:val="4"/>
              </w:rPr>
            </w:pPr>
            <w:r>
              <w:rPr>
                <w:sz w:val="4"/>
                <w:szCs w:val="4"/>
              </w:rPr>
            </w:r>
          </w:p>
        </w:tc>
        <w:tc>
          <w:tcPr>
            <w:tcW w:w="286" w:type="dxa"/>
            <w:tcBorders/>
            <w:vAlign w:val="center"/>
          </w:tcPr>
          <w:p>
            <w:pPr>
              <w:pStyle w:val="TableContents"/>
              <w:bidi w:val="0"/>
              <w:spacing w:before="0" w:after="283"/>
              <w:jc w:val="start"/>
              <w:rPr>
                <w:u w:val="single"/>
              </w:rPr>
            </w:pPr>
            <w:r>
              <w:rPr>
                <w:u w:val="single"/>
              </w:rPr>
              <w:t xml:space="preserve">4, 150 </w:t>
            </w:r>
          </w:p>
        </w:tc>
        <w:tc>
          <w:tcPr>
            <w:tcW w:w="916" w:type="dxa"/>
            <w:tcBorders/>
            <w:vAlign w:val="center"/>
          </w:tcPr>
          <w:p>
            <w:pPr>
              <w:pStyle w:val="TableContents"/>
              <w:bidi w:val="0"/>
              <w:spacing w:before="0" w:after="283"/>
              <w:jc w:val="start"/>
              <w:rPr>
                <w:sz w:val="4"/>
                <w:szCs w:val="4"/>
              </w:rPr>
            </w:pPr>
            <w:r>
              <w:rPr>
                <w:sz w:val="4"/>
                <w:szCs w:val="4"/>
              </w:rPr>
            </w:r>
          </w:p>
        </w:tc>
        <w:tc>
          <w:tcPr>
            <w:tcW w:w="871" w:type="dxa"/>
            <w:tcBorders/>
            <w:vAlign w:val="center"/>
          </w:tcPr>
          <w:p>
            <w:pPr>
              <w:pStyle w:val="TableContents"/>
              <w:bidi w:val="0"/>
              <w:spacing w:before="0" w:after="283"/>
              <w:jc w:val="start"/>
              <w:rPr>
                <w:sz w:val="4"/>
                <w:szCs w:val="4"/>
              </w:rPr>
            </w:pPr>
            <w:r>
              <w:rPr>
                <w:sz w:val="4"/>
                <w:szCs w:val="4"/>
              </w:rPr>
            </w:r>
          </w:p>
        </w:tc>
        <w:tc>
          <w:tcPr>
            <w:tcW w:w="331" w:type="dxa"/>
            <w:tcBorders/>
            <w:vAlign w:val="center"/>
          </w:tcPr>
          <w:p>
            <w:pPr>
              <w:pStyle w:val="TableContents"/>
              <w:bidi w:val="0"/>
              <w:spacing w:before="0" w:after="283"/>
              <w:jc w:val="start"/>
              <w:rPr>
                <w:u w:val="single"/>
              </w:rPr>
            </w:pPr>
            <w:r>
              <w:rPr>
                <w:u w:val="single"/>
              </w:rPr>
              <w:t xml:space="preserve">4, 150 </w:t>
            </w:r>
          </w:p>
        </w:tc>
      </w:tr>
    </w:tbl>
    <w:tbl>
      <w:tblPr>
        <w:tblW w:w="4236" w:type="dxa"/>
        <w:jc w:val="start"/>
        <w:tblInd w:w="0" w:type="dxa"/>
        <w:tblLayout w:type="fixed"/>
        <w:tblCellMar>
          <w:top w:w="28" w:type="dxa"/>
          <w:start w:w="28" w:type="dxa"/>
          <w:bottom w:w="28" w:type="dxa"/>
          <w:end w:w="28" w:type="dxa"/>
        </w:tblCellMar>
      </w:tblPr>
      <w:tblGrid>
        <w:gridCol w:w="775"/>
        <w:gridCol w:w="981"/>
        <w:gridCol w:w="304"/>
        <w:gridCol w:w="938"/>
        <w:gridCol w:w="886"/>
        <w:gridCol w:w="352"/>
      </w:tblGrid>
      <w:tr>
        <w:trPr/>
        <w:tc>
          <w:tcPr>
            <w:tcW w:w="775" w:type="dxa"/>
            <w:tcBorders/>
            <w:vAlign w:val="center"/>
          </w:tcPr>
          <w:p>
            <w:pPr>
              <w:pStyle w:val="TableContents"/>
              <w:bidi w:val="0"/>
              <w:spacing w:before="0" w:after="283"/>
              <w:jc w:val="start"/>
              <w:rPr/>
            </w:pPr>
            <w:r>
              <w:rPr/>
              <w:t xml:space="preserve">(£000’s) </w:t>
            </w:r>
          </w:p>
        </w:tc>
        <w:tc>
          <w:tcPr>
            <w:tcW w:w="981" w:type="dxa"/>
            <w:tcBorders/>
            <w:vAlign w:val="center"/>
          </w:tcPr>
          <w:p>
            <w:pPr>
              <w:pStyle w:val="TableContents"/>
              <w:bidi w:val="0"/>
              <w:spacing w:before="0" w:after="283"/>
              <w:jc w:val="start"/>
              <w:rPr/>
            </w:pPr>
            <w:r>
              <w:rPr/>
              <w:t xml:space="preserve">Taxation Account </w:t>
            </w:r>
          </w:p>
        </w:tc>
        <w:tc>
          <w:tcPr>
            <w:tcW w:w="304" w:type="dxa"/>
            <w:tcBorders/>
            <w:vAlign w:val="center"/>
          </w:tcPr>
          <w:p>
            <w:pPr>
              <w:pStyle w:val="TableContents"/>
              <w:bidi w:val="0"/>
              <w:spacing w:before="0" w:after="283"/>
              <w:jc w:val="start"/>
              <w:rPr>
                <w:sz w:val="4"/>
                <w:szCs w:val="4"/>
              </w:rPr>
            </w:pPr>
            <w:r>
              <w:rPr>
                <w:sz w:val="4"/>
                <w:szCs w:val="4"/>
              </w:rPr>
            </w:r>
          </w:p>
        </w:tc>
        <w:tc>
          <w:tcPr>
            <w:tcW w:w="938"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352" w:type="dxa"/>
            <w:tcBorders/>
            <w:vAlign w:val="center"/>
          </w:tcPr>
          <w:p>
            <w:pPr>
              <w:pStyle w:val="TableContents"/>
              <w:bidi w:val="0"/>
              <w:spacing w:before="0" w:after="283"/>
              <w:jc w:val="start"/>
              <w:rPr>
                <w:sz w:val="4"/>
                <w:szCs w:val="4"/>
              </w:rPr>
            </w:pPr>
            <w:r>
              <w:rPr>
                <w:sz w:val="4"/>
                <w:szCs w:val="4"/>
              </w:rPr>
            </w:r>
          </w:p>
        </w:tc>
      </w:tr>
      <w:tr>
        <w:trPr/>
        <w:tc>
          <w:tcPr>
            <w:tcW w:w="775" w:type="dxa"/>
            <w:tcBorders/>
            <w:vAlign w:val="center"/>
          </w:tcPr>
          <w:p>
            <w:pPr>
              <w:pStyle w:val="TableContents"/>
              <w:bidi w:val="0"/>
              <w:spacing w:before="0" w:after="283"/>
              <w:jc w:val="start"/>
              <w:rPr/>
            </w:pPr>
            <w:r>
              <w:rPr/>
              <w:t xml:space="preserve">2004/2005 </w:t>
            </w:r>
          </w:p>
        </w:tc>
        <w:tc>
          <w:tcPr>
            <w:tcW w:w="981" w:type="dxa"/>
            <w:tcBorders/>
            <w:vAlign w:val="center"/>
          </w:tcPr>
          <w:p>
            <w:pPr>
              <w:pStyle w:val="TableContents"/>
              <w:bidi w:val="0"/>
              <w:spacing w:before="0" w:after="283"/>
              <w:jc w:val="start"/>
              <w:rPr/>
            </w:pPr>
            <w:r>
              <w:rPr/>
              <w:t xml:space="preserve">Bank </w:t>
            </w:r>
          </w:p>
        </w:tc>
        <w:tc>
          <w:tcPr>
            <w:tcW w:w="304" w:type="dxa"/>
            <w:tcBorders/>
            <w:vAlign w:val="center"/>
          </w:tcPr>
          <w:p>
            <w:pPr>
              <w:pStyle w:val="TableContents"/>
              <w:bidi w:val="0"/>
              <w:spacing w:before="0" w:after="283"/>
              <w:jc w:val="start"/>
              <w:rPr/>
            </w:pPr>
            <w:r>
              <w:rPr/>
              <w:t xml:space="preserve">2, 250 </w:t>
            </w:r>
          </w:p>
        </w:tc>
        <w:tc>
          <w:tcPr>
            <w:tcW w:w="938" w:type="dxa"/>
            <w:tcBorders/>
            <w:vAlign w:val="center"/>
          </w:tcPr>
          <w:p>
            <w:pPr>
              <w:pStyle w:val="TableContents"/>
              <w:bidi w:val="0"/>
              <w:spacing w:before="0" w:after="283"/>
              <w:jc w:val="start"/>
              <w:rPr/>
            </w:pPr>
            <w:r>
              <w:rPr/>
              <w:t xml:space="preserve">1August 2004 </w:t>
            </w:r>
          </w:p>
        </w:tc>
        <w:tc>
          <w:tcPr>
            <w:tcW w:w="886" w:type="dxa"/>
            <w:tcBorders/>
            <w:vAlign w:val="center"/>
          </w:tcPr>
          <w:p>
            <w:pPr>
              <w:pStyle w:val="TableContents"/>
              <w:bidi w:val="0"/>
              <w:spacing w:before="0" w:after="283"/>
              <w:jc w:val="start"/>
              <w:rPr/>
            </w:pPr>
            <w:r>
              <w:rPr/>
              <w:t xml:space="preserve">Balance b/d </w:t>
            </w:r>
          </w:p>
        </w:tc>
        <w:tc>
          <w:tcPr>
            <w:tcW w:w="352" w:type="dxa"/>
            <w:tcBorders/>
            <w:vAlign w:val="center"/>
          </w:tcPr>
          <w:p>
            <w:pPr>
              <w:pStyle w:val="TableContents"/>
              <w:bidi w:val="0"/>
              <w:spacing w:before="0" w:after="283"/>
              <w:jc w:val="start"/>
              <w:rPr/>
            </w:pPr>
            <w:r>
              <w:rPr/>
              <w:t xml:space="preserve">2, 250 </w:t>
            </w:r>
          </w:p>
        </w:tc>
      </w:tr>
      <w:tr>
        <w:trPr/>
        <w:tc>
          <w:tcPr>
            <w:tcW w:w="775" w:type="dxa"/>
            <w:tcBorders/>
            <w:vAlign w:val="center"/>
          </w:tcPr>
          <w:p>
            <w:pPr>
              <w:pStyle w:val="TableContents"/>
              <w:bidi w:val="0"/>
              <w:spacing w:before="0" w:after="283"/>
              <w:jc w:val="start"/>
              <w:rPr/>
            </w:pPr>
            <w:r>
              <w:rPr/>
              <w:t xml:space="preserve">31 July 2005 </w:t>
            </w:r>
          </w:p>
        </w:tc>
        <w:tc>
          <w:tcPr>
            <w:tcW w:w="981" w:type="dxa"/>
            <w:tcBorders/>
            <w:vAlign w:val="center"/>
          </w:tcPr>
          <w:p>
            <w:pPr>
              <w:pStyle w:val="TableContents"/>
              <w:bidi w:val="0"/>
              <w:spacing w:before="0" w:after="283"/>
              <w:jc w:val="start"/>
              <w:rPr/>
            </w:pPr>
            <w:r>
              <w:rPr/>
              <w:t xml:space="preserve">Balance c/d </w:t>
            </w:r>
          </w:p>
        </w:tc>
        <w:tc>
          <w:tcPr>
            <w:tcW w:w="304" w:type="dxa"/>
            <w:tcBorders/>
            <w:vAlign w:val="center"/>
          </w:tcPr>
          <w:p>
            <w:pPr>
              <w:pStyle w:val="TableContents"/>
              <w:bidi w:val="0"/>
              <w:spacing w:before="0" w:after="283"/>
              <w:jc w:val="start"/>
              <w:rPr>
                <w:u w:val="single"/>
              </w:rPr>
            </w:pPr>
            <w:r>
              <w:rPr>
                <w:u w:val="single"/>
              </w:rPr>
              <w:t xml:space="preserve">2, 950 </w:t>
            </w:r>
          </w:p>
        </w:tc>
        <w:tc>
          <w:tcPr>
            <w:tcW w:w="938" w:type="dxa"/>
            <w:tcBorders/>
            <w:vAlign w:val="center"/>
          </w:tcPr>
          <w:p>
            <w:pPr>
              <w:pStyle w:val="TableContents"/>
              <w:bidi w:val="0"/>
              <w:spacing w:before="0" w:after="283"/>
              <w:jc w:val="start"/>
              <w:rPr/>
            </w:pPr>
            <w:r>
              <w:rPr/>
              <w:t xml:space="preserve">31 July 2005 </w:t>
            </w:r>
          </w:p>
        </w:tc>
        <w:tc>
          <w:tcPr>
            <w:tcW w:w="886" w:type="dxa"/>
            <w:tcBorders/>
            <w:vAlign w:val="center"/>
          </w:tcPr>
          <w:p>
            <w:pPr>
              <w:pStyle w:val="TableContents"/>
              <w:bidi w:val="0"/>
              <w:spacing w:before="0" w:after="283"/>
              <w:jc w:val="start"/>
              <w:rPr/>
            </w:pPr>
            <w:r>
              <w:rPr/>
              <w:t xml:space="preserve">P/L App </w:t>
            </w:r>
          </w:p>
        </w:tc>
        <w:tc>
          <w:tcPr>
            <w:tcW w:w="352" w:type="dxa"/>
            <w:tcBorders/>
            <w:vAlign w:val="center"/>
          </w:tcPr>
          <w:p>
            <w:pPr>
              <w:pStyle w:val="TableContents"/>
              <w:bidi w:val="0"/>
              <w:spacing w:before="0" w:after="283"/>
              <w:jc w:val="start"/>
              <w:rPr>
                <w:u w:val="single"/>
              </w:rPr>
            </w:pPr>
            <w:r>
              <w:rPr>
                <w:u w:val="single"/>
              </w:rPr>
              <w:t xml:space="preserve">2, 950 </w:t>
            </w:r>
          </w:p>
        </w:tc>
      </w:tr>
      <w:tr>
        <w:trPr/>
        <w:tc>
          <w:tcPr>
            <w:tcW w:w="775" w:type="dxa"/>
            <w:tcBorders/>
            <w:vAlign w:val="center"/>
          </w:tcPr>
          <w:p>
            <w:pPr>
              <w:pStyle w:val="TableContents"/>
              <w:bidi w:val="0"/>
              <w:spacing w:before="0" w:after="283"/>
              <w:jc w:val="start"/>
              <w:rPr>
                <w:sz w:val="4"/>
                <w:szCs w:val="4"/>
              </w:rPr>
            </w:pPr>
            <w:r>
              <w:rPr>
                <w:sz w:val="4"/>
                <w:szCs w:val="4"/>
              </w:rPr>
            </w:r>
          </w:p>
        </w:tc>
        <w:tc>
          <w:tcPr>
            <w:tcW w:w="981" w:type="dxa"/>
            <w:tcBorders/>
            <w:vAlign w:val="center"/>
          </w:tcPr>
          <w:p>
            <w:pPr>
              <w:pStyle w:val="TableContents"/>
              <w:bidi w:val="0"/>
              <w:spacing w:before="0" w:after="283"/>
              <w:jc w:val="start"/>
              <w:rPr>
                <w:sz w:val="4"/>
                <w:szCs w:val="4"/>
              </w:rPr>
            </w:pPr>
            <w:r>
              <w:rPr>
                <w:sz w:val="4"/>
                <w:szCs w:val="4"/>
              </w:rPr>
            </w:r>
          </w:p>
        </w:tc>
        <w:tc>
          <w:tcPr>
            <w:tcW w:w="304" w:type="dxa"/>
            <w:tcBorders/>
            <w:vAlign w:val="center"/>
          </w:tcPr>
          <w:p>
            <w:pPr>
              <w:pStyle w:val="TableContents"/>
              <w:bidi w:val="0"/>
              <w:spacing w:before="0" w:after="283"/>
              <w:jc w:val="start"/>
              <w:rPr>
                <w:u w:val="single"/>
              </w:rPr>
            </w:pPr>
            <w:r>
              <w:rPr>
                <w:u w:val="single"/>
              </w:rPr>
              <w:t xml:space="preserve">5, 200 </w:t>
            </w:r>
          </w:p>
        </w:tc>
        <w:tc>
          <w:tcPr>
            <w:tcW w:w="938" w:type="dxa"/>
            <w:tcBorders/>
            <w:vAlign w:val="center"/>
          </w:tcPr>
          <w:p>
            <w:pPr>
              <w:pStyle w:val="TableContents"/>
              <w:bidi w:val="0"/>
              <w:spacing w:before="0" w:after="283"/>
              <w:jc w:val="start"/>
              <w:rPr>
                <w:sz w:val="4"/>
                <w:szCs w:val="4"/>
              </w:rPr>
            </w:pPr>
            <w:r>
              <w:rPr>
                <w:sz w:val="4"/>
                <w:szCs w:val="4"/>
              </w:rPr>
            </w:r>
          </w:p>
        </w:tc>
        <w:tc>
          <w:tcPr>
            <w:tcW w:w="886" w:type="dxa"/>
            <w:tcBorders/>
            <w:vAlign w:val="center"/>
          </w:tcPr>
          <w:p>
            <w:pPr>
              <w:pStyle w:val="TableContents"/>
              <w:bidi w:val="0"/>
              <w:spacing w:before="0" w:after="283"/>
              <w:jc w:val="start"/>
              <w:rPr>
                <w:sz w:val="4"/>
                <w:szCs w:val="4"/>
              </w:rPr>
            </w:pPr>
            <w:r>
              <w:rPr>
                <w:sz w:val="4"/>
                <w:szCs w:val="4"/>
              </w:rPr>
            </w:r>
          </w:p>
        </w:tc>
        <w:tc>
          <w:tcPr>
            <w:tcW w:w="352" w:type="dxa"/>
            <w:tcBorders/>
            <w:vAlign w:val="center"/>
          </w:tcPr>
          <w:p>
            <w:pPr>
              <w:pStyle w:val="TableContents"/>
              <w:bidi w:val="0"/>
              <w:spacing w:before="0" w:after="283"/>
              <w:jc w:val="start"/>
              <w:rPr>
                <w:u w:val="single"/>
              </w:rPr>
            </w:pPr>
            <w:r>
              <w:rPr>
                <w:u w:val="single"/>
              </w:rPr>
              <w:t xml:space="preserve">5, 200 </w:t>
            </w:r>
          </w:p>
        </w:tc>
      </w:tr>
      <w:tr>
        <w:trPr/>
        <w:tc>
          <w:tcPr>
            <w:tcW w:w="775" w:type="dxa"/>
            <w:tcBorders/>
            <w:vAlign w:val="center"/>
          </w:tcPr>
          <w:p>
            <w:pPr>
              <w:pStyle w:val="TableContents"/>
              <w:bidi w:val="0"/>
              <w:spacing w:before="0" w:after="283"/>
              <w:jc w:val="start"/>
              <w:rPr>
                <w:sz w:val="4"/>
                <w:szCs w:val="4"/>
              </w:rPr>
            </w:pPr>
            <w:r>
              <w:rPr>
                <w:sz w:val="4"/>
                <w:szCs w:val="4"/>
              </w:rPr>
            </w:r>
          </w:p>
        </w:tc>
        <w:tc>
          <w:tcPr>
            <w:tcW w:w="981" w:type="dxa"/>
            <w:tcBorders/>
            <w:vAlign w:val="center"/>
          </w:tcPr>
          <w:p>
            <w:pPr>
              <w:pStyle w:val="TableContents"/>
              <w:bidi w:val="0"/>
              <w:spacing w:before="0" w:after="283"/>
              <w:jc w:val="start"/>
              <w:rPr>
                <w:sz w:val="4"/>
                <w:szCs w:val="4"/>
              </w:rPr>
            </w:pPr>
            <w:r>
              <w:rPr>
                <w:sz w:val="4"/>
                <w:szCs w:val="4"/>
              </w:rPr>
            </w:r>
          </w:p>
        </w:tc>
        <w:tc>
          <w:tcPr>
            <w:tcW w:w="304" w:type="dxa"/>
            <w:tcBorders/>
            <w:vAlign w:val="center"/>
          </w:tcPr>
          <w:p>
            <w:pPr>
              <w:pStyle w:val="TableContents"/>
              <w:bidi w:val="0"/>
              <w:spacing w:before="0" w:after="283"/>
              <w:jc w:val="start"/>
              <w:rPr>
                <w:sz w:val="4"/>
                <w:szCs w:val="4"/>
              </w:rPr>
            </w:pPr>
            <w:r>
              <w:rPr>
                <w:sz w:val="4"/>
                <w:szCs w:val="4"/>
              </w:rPr>
            </w:r>
          </w:p>
        </w:tc>
        <w:tc>
          <w:tcPr>
            <w:tcW w:w="938" w:type="dxa"/>
            <w:tcBorders/>
            <w:vAlign w:val="center"/>
          </w:tcPr>
          <w:p>
            <w:pPr>
              <w:pStyle w:val="TableContents"/>
              <w:bidi w:val="0"/>
              <w:spacing w:before="0" w:after="283"/>
              <w:jc w:val="start"/>
              <w:rPr/>
            </w:pPr>
            <w:r>
              <w:rPr/>
              <w:t xml:space="preserve">1August 2005 </w:t>
            </w:r>
          </w:p>
        </w:tc>
        <w:tc>
          <w:tcPr>
            <w:tcW w:w="886" w:type="dxa"/>
            <w:tcBorders/>
            <w:vAlign w:val="center"/>
          </w:tcPr>
          <w:p>
            <w:pPr>
              <w:pStyle w:val="TableContents"/>
              <w:bidi w:val="0"/>
              <w:spacing w:before="0" w:after="283"/>
              <w:jc w:val="start"/>
              <w:rPr/>
            </w:pPr>
            <w:r>
              <w:rPr/>
              <w:t xml:space="preserve">Balance b/d </w:t>
            </w:r>
          </w:p>
        </w:tc>
        <w:tc>
          <w:tcPr>
            <w:tcW w:w="352" w:type="dxa"/>
            <w:tcBorders/>
            <w:vAlign w:val="center"/>
          </w:tcPr>
          <w:p>
            <w:pPr>
              <w:pStyle w:val="TableContents"/>
              <w:bidi w:val="0"/>
              <w:spacing w:before="0" w:after="283"/>
              <w:jc w:val="start"/>
              <w:rPr/>
            </w:pPr>
            <w:r>
              <w:rPr/>
              <w:t xml:space="preserve">2, 950 </w:t>
            </w:r>
          </w:p>
        </w:tc>
      </w:tr>
    </w:tbl>
    <w:p>
      <w:pPr>
        <w:pStyle w:val="TextBody"/>
        <w:bidi w:val="0"/>
        <w:spacing w:before="0" w:after="283"/>
        <w:jc w:val="start"/>
        <w:rPr/>
      </w:pPr>
      <w:r>
        <w:rPr/>
        <w:t xml:space="preserve">(A5) Purchase of Non-Current Assets </w:t>
      </w:r>
    </w:p>
    <w:tbl>
      <w:tblPr>
        <w:tblW w:w="4236" w:type="dxa"/>
        <w:jc w:val="start"/>
        <w:tblInd w:w="0" w:type="dxa"/>
        <w:tblLayout w:type="fixed"/>
        <w:tblCellMar>
          <w:top w:w="28" w:type="dxa"/>
          <w:start w:w="28" w:type="dxa"/>
          <w:bottom w:w="28" w:type="dxa"/>
          <w:end w:w="28" w:type="dxa"/>
        </w:tblCellMar>
      </w:tblPr>
      <w:tblGrid>
        <w:gridCol w:w="3355"/>
        <w:gridCol w:w="881"/>
      </w:tblGrid>
      <w:tr>
        <w:trPr/>
        <w:tc>
          <w:tcPr>
            <w:tcW w:w="3355" w:type="dxa"/>
            <w:tcBorders/>
            <w:vAlign w:val="center"/>
          </w:tcPr>
          <w:p>
            <w:pPr>
              <w:pStyle w:val="TableContents"/>
              <w:bidi w:val="0"/>
              <w:spacing w:before="0" w:after="283"/>
              <w:jc w:val="start"/>
              <w:rPr>
                <w:sz w:val="4"/>
                <w:szCs w:val="4"/>
              </w:rPr>
            </w:pPr>
            <w:r>
              <w:rPr>
                <w:sz w:val="4"/>
                <w:szCs w:val="4"/>
              </w:rPr>
            </w:r>
          </w:p>
        </w:tc>
        <w:tc>
          <w:tcPr>
            <w:tcW w:w="881" w:type="dxa"/>
            <w:tcBorders/>
            <w:vAlign w:val="center"/>
          </w:tcPr>
          <w:p>
            <w:pPr>
              <w:pStyle w:val="TableContents"/>
              <w:bidi w:val="0"/>
              <w:spacing w:before="0" w:after="283"/>
              <w:jc w:val="start"/>
              <w:rPr/>
            </w:pPr>
            <w:r>
              <w:rPr/>
              <w:t xml:space="preserve">(£000’s) </w:t>
            </w:r>
          </w:p>
        </w:tc>
      </w:tr>
      <w:tr>
        <w:trPr/>
        <w:tc>
          <w:tcPr>
            <w:tcW w:w="3355" w:type="dxa"/>
            <w:tcBorders/>
            <w:vAlign w:val="center"/>
          </w:tcPr>
          <w:p>
            <w:pPr>
              <w:pStyle w:val="TableContents"/>
              <w:bidi w:val="0"/>
              <w:spacing w:before="0" w:after="283"/>
              <w:jc w:val="start"/>
              <w:rPr/>
            </w:pPr>
            <w:r>
              <w:rPr/>
              <w:t xml:space="preserve">Balance on Balance Sheet 2004 </w:t>
            </w:r>
          </w:p>
        </w:tc>
        <w:tc>
          <w:tcPr>
            <w:tcW w:w="881" w:type="dxa"/>
            <w:tcBorders/>
            <w:vAlign w:val="center"/>
          </w:tcPr>
          <w:p>
            <w:pPr>
              <w:pStyle w:val="TableContents"/>
              <w:bidi w:val="0"/>
              <w:spacing w:before="0" w:after="283"/>
              <w:jc w:val="start"/>
              <w:rPr/>
            </w:pPr>
            <w:r>
              <w:rPr/>
              <w:t xml:space="preserve">72, 500 </w:t>
            </w:r>
          </w:p>
        </w:tc>
      </w:tr>
      <w:tr>
        <w:trPr/>
        <w:tc>
          <w:tcPr>
            <w:tcW w:w="3355" w:type="dxa"/>
            <w:tcBorders/>
            <w:vAlign w:val="center"/>
          </w:tcPr>
          <w:p>
            <w:pPr>
              <w:pStyle w:val="TableContents"/>
              <w:bidi w:val="0"/>
              <w:spacing w:before="0" w:after="283"/>
              <w:jc w:val="start"/>
              <w:rPr/>
            </w:pPr>
            <w:r>
              <w:rPr/>
              <w:t xml:space="preserve">Less Net Book Value of those Disposed (£0. 5m – 0. 175m) </w:t>
            </w:r>
          </w:p>
        </w:tc>
        <w:tc>
          <w:tcPr>
            <w:tcW w:w="881" w:type="dxa"/>
            <w:tcBorders/>
            <w:vAlign w:val="center"/>
          </w:tcPr>
          <w:p>
            <w:pPr>
              <w:pStyle w:val="TableContents"/>
              <w:bidi w:val="0"/>
              <w:spacing w:before="0" w:after="283"/>
              <w:jc w:val="start"/>
              <w:rPr>
                <w:u w:val="single"/>
              </w:rPr>
            </w:pPr>
            <w:r>
              <w:rPr>
                <w:u w:val="single"/>
              </w:rPr>
              <w:t xml:space="preserve">325 </w:t>
            </w:r>
          </w:p>
        </w:tc>
      </w:tr>
      <w:tr>
        <w:trPr/>
        <w:tc>
          <w:tcPr>
            <w:tcW w:w="3355" w:type="dxa"/>
            <w:tcBorders/>
            <w:vAlign w:val="center"/>
          </w:tcPr>
          <w:p>
            <w:pPr>
              <w:pStyle w:val="TableContents"/>
              <w:bidi w:val="0"/>
              <w:spacing w:before="0" w:after="283"/>
              <w:jc w:val="start"/>
              <w:rPr>
                <w:sz w:val="4"/>
                <w:szCs w:val="4"/>
              </w:rPr>
            </w:pPr>
            <w:r>
              <w:rPr>
                <w:sz w:val="4"/>
                <w:szCs w:val="4"/>
              </w:rPr>
            </w:r>
          </w:p>
        </w:tc>
        <w:tc>
          <w:tcPr>
            <w:tcW w:w="881" w:type="dxa"/>
            <w:tcBorders/>
            <w:vAlign w:val="center"/>
          </w:tcPr>
          <w:p>
            <w:pPr>
              <w:pStyle w:val="TableContents"/>
              <w:bidi w:val="0"/>
              <w:spacing w:before="0" w:after="283"/>
              <w:jc w:val="start"/>
              <w:rPr/>
            </w:pPr>
            <w:r>
              <w:rPr/>
              <w:t xml:space="preserve">72, 175 </w:t>
            </w:r>
          </w:p>
        </w:tc>
      </w:tr>
      <w:tr>
        <w:trPr/>
        <w:tc>
          <w:tcPr>
            <w:tcW w:w="3355" w:type="dxa"/>
            <w:tcBorders/>
            <w:vAlign w:val="center"/>
          </w:tcPr>
          <w:p>
            <w:pPr>
              <w:pStyle w:val="TableContents"/>
              <w:bidi w:val="0"/>
              <w:spacing w:before="0" w:after="283"/>
              <w:jc w:val="start"/>
              <w:rPr/>
            </w:pPr>
            <w:r>
              <w:rPr/>
              <w:t xml:space="preserve">Less Depreciation for the Year </w:t>
            </w:r>
          </w:p>
        </w:tc>
        <w:tc>
          <w:tcPr>
            <w:tcW w:w="881" w:type="dxa"/>
            <w:tcBorders/>
            <w:vAlign w:val="center"/>
          </w:tcPr>
          <w:p>
            <w:pPr>
              <w:pStyle w:val="TableContents"/>
              <w:bidi w:val="0"/>
              <w:spacing w:before="0" w:after="283"/>
              <w:jc w:val="start"/>
              <w:rPr>
                <w:u w:val="single"/>
              </w:rPr>
            </w:pPr>
            <w:r>
              <w:rPr>
                <w:u w:val="single"/>
              </w:rPr>
              <w:t xml:space="preserve">6, 000 </w:t>
            </w:r>
          </w:p>
        </w:tc>
      </w:tr>
      <w:tr>
        <w:trPr/>
        <w:tc>
          <w:tcPr>
            <w:tcW w:w="3355" w:type="dxa"/>
            <w:tcBorders/>
            <w:vAlign w:val="center"/>
          </w:tcPr>
          <w:p>
            <w:pPr>
              <w:pStyle w:val="TableContents"/>
              <w:bidi w:val="0"/>
              <w:spacing w:before="0" w:after="283"/>
              <w:jc w:val="start"/>
              <w:rPr>
                <w:sz w:val="4"/>
                <w:szCs w:val="4"/>
              </w:rPr>
            </w:pPr>
            <w:r>
              <w:rPr>
                <w:sz w:val="4"/>
                <w:szCs w:val="4"/>
              </w:rPr>
            </w:r>
          </w:p>
        </w:tc>
        <w:tc>
          <w:tcPr>
            <w:tcW w:w="881" w:type="dxa"/>
            <w:tcBorders/>
            <w:vAlign w:val="center"/>
          </w:tcPr>
          <w:p>
            <w:pPr>
              <w:pStyle w:val="TableContents"/>
              <w:bidi w:val="0"/>
              <w:spacing w:before="0" w:after="283"/>
              <w:jc w:val="start"/>
              <w:rPr/>
            </w:pPr>
            <w:r>
              <w:rPr/>
              <w:t xml:space="preserve">66, 175 </w:t>
            </w:r>
          </w:p>
        </w:tc>
      </w:tr>
      <w:tr>
        <w:trPr/>
        <w:tc>
          <w:tcPr>
            <w:tcW w:w="3355" w:type="dxa"/>
            <w:tcBorders/>
            <w:vAlign w:val="center"/>
          </w:tcPr>
          <w:p>
            <w:pPr>
              <w:pStyle w:val="TableContents"/>
              <w:bidi w:val="0"/>
              <w:spacing w:before="0" w:after="283"/>
              <w:jc w:val="start"/>
              <w:rPr/>
            </w:pPr>
            <w:r>
              <w:rPr/>
              <w:t xml:space="preserve">Balance Sheet 31 July 2005 </w:t>
            </w:r>
          </w:p>
        </w:tc>
        <w:tc>
          <w:tcPr>
            <w:tcW w:w="881" w:type="dxa"/>
            <w:tcBorders/>
            <w:vAlign w:val="center"/>
          </w:tcPr>
          <w:p>
            <w:pPr>
              <w:pStyle w:val="TableContents"/>
              <w:bidi w:val="0"/>
              <w:spacing w:before="0" w:after="283"/>
              <w:jc w:val="start"/>
              <w:rPr>
                <w:u w:val="single"/>
              </w:rPr>
            </w:pPr>
            <w:r>
              <w:rPr>
                <w:u w:val="single"/>
              </w:rPr>
              <w:t xml:space="preserve">75, 000 </w:t>
            </w:r>
          </w:p>
        </w:tc>
      </w:tr>
      <w:tr>
        <w:trPr/>
        <w:tc>
          <w:tcPr>
            <w:tcW w:w="3355" w:type="dxa"/>
            <w:tcBorders/>
            <w:vAlign w:val="center"/>
          </w:tcPr>
          <w:p>
            <w:pPr>
              <w:pStyle w:val="TableContents"/>
              <w:bidi w:val="0"/>
              <w:spacing w:before="0" w:after="283"/>
              <w:jc w:val="start"/>
              <w:rPr/>
            </w:pPr>
            <w:r>
              <w:rPr/>
              <w:t xml:space="preserve">Difference is Purchases </w:t>
            </w:r>
          </w:p>
        </w:tc>
        <w:tc>
          <w:tcPr>
            <w:tcW w:w="881" w:type="dxa"/>
            <w:tcBorders/>
            <w:vAlign w:val="center"/>
          </w:tcPr>
          <w:p>
            <w:pPr>
              <w:pStyle w:val="TableContents"/>
              <w:bidi w:val="0"/>
              <w:spacing w:before="0" w:after="283"/>
              <w:jc w:val="start"/>
              <w:rPr/>
            </w:pPr>
            <w:r>
              <w:rPr/>
              <w:t xml:space="preserve">£ </w:t>
            </w:r>
            <w:r>
              <w:rPr>
                <w:u w:val="single"/>
              </w:rPr>
              <w:t xml:space="preserve">8, 825 </w:t>
            </w:r>
          </w:p>
        </w:tc>
      </w:tr>
    </w:tbl>
    <w:p>
      <w:pPr>
        <w:pStyle w:val="TextBody"/>
        <w:bidi w:val="0"/>
        <w:spacing w:before="0" w:after="283"/>
        <w:jc w:val="start"/>
        <w:rPr/>
      </w:pPr>
      <w:r>
        <w:rPr/>
        <w:t xml:space="preserve">(A6 &amp; A7) </w:t>
      </w:r>
    </w:p>
    <w:p>
      <w:pPr>
        <w:pStyle w:val="TextBody"/>
        <w:bidi w:val="0"/>
        <w:spacing w:before="0" w:after="283"/>
        <w:jc w:val="start"/>
        <w:rPr/>
      </w:pPr>
      <w:r>
        <w:rPr/>
        <w:t xml:space="preserve">Proceeds from the issue of shares and loan notes are the increases shown on the difference between the two balance sheet figures for 2004 and 2005. </w:t>
      </w:r>
    </w:p>
    <w:p>
      <w:pPr>
        <w:pStyle w:val="TextBody"/>
        <w:bidi w:val="0"/>
        <w:spacing w:before="0" w:after="283"/>
        <w:jc w:val="start"/>
        <w:rPr/>
      </w:pPr>
      <w:r>
        <w:rPr/>
        <w:t xml:space="preserve">(A8) </w:t>
      </w:r>
    </w:p>
    <w:p>
      <w:pPr>
        <w:pStyle w:val="TextBody"/>
        <w:bidi w:val="0"/>
        <w:spacing w:before="0" w:after="283"/>
        <w:jc w:val="start"/>
        <w:rPr/>
      </w:pPr>
      <w:r>
        <w:rPr/>
        <w:t xml:space="preserve">This is the net effect from operating activities £7, 975, net cash used in investing activities (8, 525) and the net cash flow from financing activities 1, 550. </w:t>
      </w:r>
    </w:p>
    <w:tbl>
      <w:tblPr>
        <w:tblW w:w="2538" w:type="dxa"/>
        <w:jc w:val="start"/>
        <w:tblInd w:w="0" w:type="dxa"/>
        <w:tblLayout w:type="fixed"/>
        <w:tblCellMar>
          <w:top w:w="28" w:type="dxa"/>
          <w:start w:w="28" w:type="dxa"/>
          <w:bottom w:w="28" w:type="dxa"/>
          <w:end w:w="28" w:type="dxa"/>
        </w:tblCellMar>
      </w:tblPr>
      <w:tblGrid>
        <w:gridCol w:w="976"/>
        <w:gridCol w:w="571"/>
        <w:gridCol w:w="991"/>
      </w:tblGrid>
      <w:tr>
        <w:trPr/>
        <w:tc>
          <w:tcPr>
            <w:tcW w:w="976" w:type="dxa"/>
            <w:tcBorders/>
            <w:vAlign w:val="center"/>
          </w:tcPr>
          <w:p>
            <w:pPr>
              <w:pStyle w:val="TableContents"/>
              <w:bidi w:val="0"/>
              <w:spacing w:before="0" w:after="283"/>
              <w:jc w:val="start"/>
              <w:rPr/>
            </w:pPr>
            <w:r>
              <w:rPr/>
              <w:t xml:space="preserve">(£000’s) </w:t>
            </w:r>
          </w:p>
        </w:tc>
        <w:tc>
          <w:tcPr>
            <w:tcW w:w="571" w:type="dxa"/>
            <w:tcBorders/>
            <w:vAlign w:val="center"/>
          </w:tcPr>
          <w:p>
            <w:pPr>
              <w:pStyle w:val="TableContents"/>
              <w:bidi w:val="0"/>
              <w:spacing w:before="0" w:after="283"/>
              <w:jc w:val="start"/>
              <w:rPr/>
            </w:pPr>
            <w:r>
              <w:rPr/>
              <w:t xml:space="preserve">i. e.: </w:t>
            </w:r>
          </w:p>
        </w:tc>
        <w:tc>
          <w:tcPr>
            <w:tcW w:w="991" w:type="dxa"/>
            <w:tcBorders/>
            <w:vAlign w:val="center"/>
          </w:tcPr>
          <w:p>
            <w:pPr>
              <w:pStyle w:val="TableContents"/>
              <w:bidi w:val="0"/>
              <w:spacing w:before="0" w:after="283"/>
              <w:jc w:val="start"/>
              <w:rPr/>
            </w:pPr>
            <w:r>
              <w:rPr/>
              <w:t xml:space="preserve">7, 975 </w:t>
            </w:r>
          </w:p>
        </w:tc>
      </w:tr>
      <w:tr>
        <w:trPr/>
        <w:tc>
          <w:tcPr>
            <w:tcW w:w="976" w:type="dxa"/>
            <w:tcBorders/>
            <w:vAlign w:val="center"/>
          </w:tcPr>
          <w:p>
            <w:pPr>
              <w:pStyle w:val="TableContents"/>
              <w:bidi w:val="0"/>
              <w:spacing w:before="0" w:after="283"/>
              <w:jc w:val="start"/>
              <w:rPr>
                <w:sz w:val="4"/>
                <w:szCs w:val="4"/>
              </w:rPr>
            </w:pPr>
            <w:r>
              <w:rPr>
                <w:sz w:val="4"/>
                <w:szCs w:val="4"/>
              </w:rPr>
            </w:r>
          </w:p>
        </w:tc>
        <w:tc>
          <w:tcPr>
            <w:tcW w:w="571"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pPr>
            <w:r>
              <w:rPr/>
              <w:t xml:space="preserve">(8, 525) </w:t>
            </w:r>
          </w:p>
        </w:tc>
      </w:tr>
      <w:tr>
        <w:trPr/>
        <w:tc>
          <w:tcPr>
            <w:tcW w:w="976" w:type="dxa"/>
            <w:tcBorders/>
            <w:vAlign w:val="center"/>
          </w:tcPr>
          <w:p>
            <w:pPr>
              <w:pStyle w:val="TableContents"/>
              <w:bidi w:val="0"/>
              <w:spacing w:before="0" w:after="283"/>
              <w:jc w:val="start"/>
              <w:rPr>
                <w:sz w:val="4"/>
                <w:szCs w:val="4"/>
              </w:rPr>
            </w:pPr>
            <w:r>
              <w:rPr>
                <w:sz w:val="4"/>
                <w:szCs w:val="4"/>
              </w:rPr>
            </w:r>
          </w:p>
        </w:tc>
        <w:tc>
          <w:tcPr>
            <w:tcW w:w="571"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u w:val="single"/>
              </w:rPr>
            </w:pPr>
            <w:r>
              <w:rPr>
                <w:u w:val="single"/>
              </w:rPr>
              <w:t xml:space="preserve">1, 550 </w:t>
            </w:r>
          </w:p>
        </w:tc>
      </w:tr>
      <w:tr>
        <w:trPr/>
        <w:tc>
          <w:tcPr>
            <w:tcW w:w="976" w:type="dxa"/>
            <w:tcBorders/>
            <w:vAlign w:val="center"/>
          </w:tcPr>
          <w:p>
            <w:pPr>
              <w:pStyle w:val="TableContents"/>
              <w:bidi w:val="0"/>
              <w:spacing w:before="0" w:after="283"/>
              <w:jc w:val="start"/>
              <w:rPr>
                <w:sz w:val="4"/>
                <w:szCs w:val="4"/>
              </w:rPr>
            </w:pPr>
            <w:r>
              <w:rPr>
                <w:sz w:val="4"/>
                <w:szCs w:val="4"/>
              </w:rPr>
            </w:r>
          </w:p>
        </w:tc>
        <w:tc>
          <w:tcPr>
            <w:tcW w:w="571" w:type="dxa"/>
            <w:tcBorders/>
            <w:vAlign w:val="center"/>
          </w:tcPr>
          <w:p>
            <w:pPr>
              <w:pStyle w:val="TableContents"/>
              <w:bidi w:val="0"/>
              <w:spacing w:before="0" w:after="283"/>
              <w:jc w:val="start"/>
              <w:rPr>
                <w:sz w:val="4"/>
                <w:szCs w:val="4"/>
              </w:rPr>
            </w:pPr>
            <w:r>
              <w:rPr>
                <w:sz w:val="4"/>
                <w:szCs w:val="4"/>
              </w:rPr>
            </w:r>
          </w:p>
        </w:tc>
        <w:tc>
          <w:tcPr>
            <w:tcW w:w="991" w:type="dxa"/>
            <w:tcBorders/>
            <w:vAlign w:val="center"/>
          </w:tcPr>
          <w:p>
            <w:pPr>
              <w:pStyle w:val="TableContents"/>
              <w:bidi w:val="0"/>
              <w:spacing w:before="0" w:after="283"/>
              <w:jc w:val="start"/>
              <w:rPr/>
            </w:pPr>
            <w:r>
              <w:rPr/>
              <w:t xml:space="preserve">£ </w:t>
            </w:r>
            <w:r>
              <w:rPr>
                <w:u w:val="single"/>
              </w:rPr>
              <w:t xml:space="preserve">1, 000 </w:t>
            </w:r>
          </w:p>
        </w:tc>
      </w:tr>
    </w:tbl>
    <w:p>
      <w:pPr>
        <w:pStyle w:val="TextBody"/>
        <w:bidi w:val="0"/>
        <w:spacing w:before="0" w:after="283"/>
        <w:jc w:val="start"/>
        <w:rPr/>
      </w:pPr>
      <w:r>
        <w:rPr/>
        <w:t xml:space="preserve">(A9) </w:t>
      </w:r>
    </w:p>
    <w:p>
      <w:pPr>
        <w:pStyle w:val="TextBody"/>
        <w:bidi w:val="0"/>
        <w:spacing w:before="0" w:after="283"/>
        <w:jc w:val="start"/>
        <w:rPr/>
      </w:pPr>
      <w:r>
        <w:rPr/>
        <w:t xml:space="preserve">This is the bank figure under current assets 2004 balance sheet. </w:t>
      </w:r>
    </w:p>
    <w:p>
      <w:pPr>
        <w:pStyle w:val="TextBody"/>
        <w:bidi w:val="0"/>
        <w:spacing w:before="0" w:after="283"/>
        <w:jc w:val="start"/>
        <w:rPr/>
      </w:pPr>
      <w:r>
        <w:rPr/>
        <w:t xml:space="preserve">(A10) </w:t>
      </w:r>
    </w:p>
    <w:p>
      <w:pPr>
        <w:pStyle w:val="TextBody"/>
        <w:bidi w:val="0"/>
        <w:spacing w:before="0" w:after="283"/>
        <w:jc w:val="start"/>
        <w:rPr/>
      </w:pPr>
      <w:r>
        <w:rPr/>
        <w:t xml:space="preserve">Bank balance on 2005 balance sheet. </w:t>
      </w:r>
    </w:p>
    <w:p>
      <w:pPr>
        <w:pStyle w:val="TextBody"/>
        <w:bidi w:val="0"/>
        <w:jc w:val="start"/>
        <w:rPr>
          <w:u w:val="single"/>
        </w:rPr>
      </w:pPr>
      <w:r>
        <w:rPr>
          <w:u w:val="single"/>
        </w:rPr>
        <w:t xml:space="preserve">(2)(c) ASSESSMENT OF THE COMPANY’S LIQUIDITY IN ACCORDANCE WITH THE INFORMATION ON THE CASH FLOW. </w:t>
      </w:r>
    </w:p>
    <w:p>
      <w:pPr>
        <w:pStyle w:val="TextBody"/>
        <w:bidi w:val="0"/>
        <w:spacing w:before="0" w:after="283"/>
        <w:jc w:val="start"/>
        <w:rPr/>
      </w:pPr>
      <w:r>
        <w:rPr/>
        <w:t xml:space="preserve">Having examined the accounts and financial statements of Sky plc, there is clear evidence reflecting on the company’s liquidity level. Firstly, the measurement of the liquidity ratio revealed that the company was in healthy liquid position. </w:t>
      </w:r>
    </w:p>
    <w:p>
      <w:pPr>
        <w:pStyle w:val="TextBody"/>
        <w:bidi w:val="0"/>
        <w:spacing w:before="0" w:after="283"/>
        <w:jc w:val="start"/>
        <w:rPr/>
      </w:pPr>
      <w:r>
        <w:rPr/>
        <w:t xml:space="preserve">Current Ratio= Current Assets / Current Liabilities </w:t>
      </w:r>
    </w:p>
    <w:p>
      <w:pPr>
        <w:pStyle w:val="TextBody"/>
        <w:bidi w:val="0"/>
        <w:spacing w:before="0" w:after="283"/>
        <w:jc w:val="start"/>
        <w:rPr/>
      </w:pPr>
      <w:r>
        <w:rPr/>
        <w:t xml:space="preserve">Current Ratio of Sky = current assets £1, 830m/ current liabilities £1, 481m= 1. 24 times </w:t>
      </w:r>
    </w:p>
    <w:p>
      <w:pPr>
        <w:pStyle w:val="TextBody"/>
        <w:bidi w:val="0"/>
        <w:spacing w:before="0" w:after="283"/>
        <w:jc w:val="start"/>
        <w:rPr/>
      </w:pPr>
      <w:r>
        <w:rPr/>
        <w:t xml:space="preserve">The current ratio measures a company’s ability to meets its financial obligations as they fall due. A normal current ratio is two. Sky’s current ratio is relatively stable considering the type of industry of Sky plc. </w:t>
      </w:r>
    </w:p>
    <w:p>
      <w:pPr>
        <w:pStyle w:val="TextBody"/>
        <w:bidi w:val="0"/>
        <w:spacing w:before="0" w:after="283"/>
        <w:jc w:val="start"/>
        <w:rPr/>
      </w:pPr>
      <w:r>
        <w:rPr/>
        <w:t xml:space="preserve">Acid Ratio= Current Assets- stock/current liabilities </w:t>
      </w:r>
    </w:p>
    <w:p>
      <w:pPr>
        <w:pStyle w:val="TextBody"/>
        <w:bidi w:val="0"/>
        <w:spacing w:before="0" w:after="283"/>
        <w:jc w:val="start"/>
        <w:rPr/>
      </w:pPr>
      <w:r>
        <w:rPr/>
        <w:t xml:space="preserve">Acid Ratio of Sky= Current Assets £1, 830m- Stock £627m/ Current liabilities £1, 482m= 0. 81 times </w:t>
      </w:r>
    </w:p>
    <w:p>
      <w:pPr>
        <w:pStyle w:val="TextBody"/>
        <w:bidi w:val="0"/>
        <w:spacing w:before="0" w:after="283"/>
        <w:jc w:val="start"/>
        <w:rPr/>
      </w:pPr>
      <w:r>
        <w:rPr/>
        <w:t xml:space="preserve">The acid ratio clearly indicate that Sky has a high levels of stack and this also demonstrates that the current ratio overstated Sky’s ability to meet its financial obligations because of the inclusion of the stock in the numerator. </w:t>
      </w:r>
    </w:p>
    <w:p>
      <w:pPr>
        <w:pStyle w:val="TextBody"/>
        <w:bidi w:val="0"/>
        <w:spacing w:before="0" w:after="283"/>
        <w:jc w:val="start"/>
        <w:rPr/>
      </w:pPr>
      <w:r>
        <w:rPr/>
        <w:t xml:space="preserve">The information provided in the cash flow, demonstrated clear evidence of liquidity in the flowing of cash. For example, there was a dramatic net increase in cash and cash equivalents of £1, 000m over a year. Furthermore, this indicate that the company’s economic activities are performing well in comparison to the previous year. </w:t>
      </w:r>
    </w:p>
    <w:p>
      <w:pPr>
        <w:pStyle w:val="TextBody"/>
        <w:bidi w:val="0"/>
        <w:spacing w:before="0" w:after="283"/>
        <w:jc w:val="start"/>
        <w:rPr/>
      </w:pPr>
      <w:r>
        <w:rPr/>
        <w:t xml:space="preserve">However, amount £8525m was invested in investing activities, this figure being greater than the company’s net cash flow from operating activities amounting to £7975m. Nevertheless, the short fall in the financing of investing activity was meet by new issue of shares £50m and issue of bank loans £1500m. Inevitably, the bank loan increases company’s debt and the gearing level of the company. Nevertheless, over a year company’s bank balance increased from £1250 to £2250m. </w:t>
      </w:r>
    </w:p>
    <w:p>
      <w:pPr>
        <w:pStyle w:val="TextBody"/>
        <w:bidi w:val="0"/>
        <w:spacing w:before="0" w:after="283"/>
        <w:jc w:val="start"/>
        <w:rPr/>
      </w:pPr>
      <w:r>
        <w:rPr/>
        <w:t xml:space="preserve">In conclusion, the accounts of Sky plc indicate substantial development but there are great expenditure resulting from investment in activities. However, there is not a real concern over the liquidity of the company nor any chances of bankruptcy. </w:t>
      </w:r>
    </w:p>
    <w:p>
      <w:pPr>
        <w:pStyle w:val="TextBody"/>
        <w:bidi w:val="0"/>
        <w:spacing w:before="0" w:after="283"/>
        <w:jc w:val="start"/>
        <w:rPr/>
      </w:pPr>
      <w:r>
        <w:rPr>
          <w:rStyle w:val="Emphasis"/>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Cox . D. 1999 “ Business Accounts” 2 </w:t>
      </w:r>
      <w:r>
        <w:rPr>
          <w:rStyle w:val="Emphasis"/>
          <w:position w:val="8"/>
          <w:sz w:val="19"/>
        </w:rPr>
        <w:t xml:space="preserve">nd </w:t>
      </w:r>
      <w:r>
        <w:rPr>
          <w:rStyle w:val="Emphasis"/>
        </w:rPr>
        <w:t xml:space="preserve">Edt Osborn Business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Naylor. J. 1999 “ Management” Financial Times Prentice Hall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Pendlebury. M &amp; Groves . R . 2000 “ Company Accounts, Analysis, Interpretation and Understanding” 5 </w:t>
      </w:r>
      <w:r>
        <w:rPr>
          <w:rStyle w:val="Emphasis"/>
          <w:position w:val="8"/>
          <w:sz w:val="19"/>
        </w:rPr>
        <w:t xml:space="preserve">th </w:t>
      </w:r>
      <w:r>
        <w:rPr>
          <w:rStyle w:val="Emphasis"/>
        </w:rPr>
        <w:t xml:space="preserve">Edt Thompson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Russell. D et al 2002 “ Cost Accounting an Essential Guide” Financial Times Prentice Hall. </w:t>
      </w:r>
    </w:p>
    <w:p>
      <w:pPr>
        <w:pStyle w:val="TextBody"/>
        <w:numPr>
          <w:ilvl w:val="0"/>
          <w:numId w:val="1"/>
        </w:numPr>
        <w:tabs>
          <w:tab w:val="clear" w:pos="1134"/>
          <w:tab w:val="left" w:pos="707" w:leader="none"/>
        </w:tabs>
        <w:bidi w:val="0"/>
        <w:spacing w:before="0" w:after="283"/>
        <w:ind w:start="707" w:hanging="283"/>
        <w:jc w:val="start"/>
        <w:rPr/>
      </w:pPr>
      <w:r>
        <w:rPr>
          <w:rStyle w:val="Emphasis"/>
        </w:rPr>
        <w:t xml:space="preserve">Watson . D &amp; Head. A. 2001 “ Corporate Finance Principles and Practice” 2 </w:t>
      </w:r>
      <w:r>
        <w:rPr>
          <w:rStyle w:val="Emphasis"/>
          <w:position w:val="8"/>
          <w:sz w:val="19"/>
        </w:rPr>
        <w:t xml:space="preserve">nd </w:t>
      </w:r>
      <w:r>
        <w:rPr>
          <w:rStyle w:val="Emphasis"/>
        </w:rPr>
        <w:t xml:space="preserve">Edt Financial Times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https://assignbuster.com/effects-of-changes-to-international-accounting-standards/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changes to international acco...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hanges-to-international-accounting-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changes to international accounting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changes to international accounting standards</dc:title>
  <dc:subject>Others;</dc:subject>
  <dc:creator>AssignBuster</dc:creator>
  <cp:keywords/>
  <dc:description>The purpose for this is to measure the process of determining the monetary amounts in which the element of the financial statements are to be recognis...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