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Effects of bosentan and losartan on 2k1c hypertensive rats</w:t>
        </w:r>
      </w:hyperlink>
      <w:bookmarkEnd w:id="0"/>
    </w:p>
    <w:p>
      <w:r>
        <w:br w:type="page"/>
      </w:r>
    </w:p>
    <w:p>
      <w:pPr>
        <w:pStyle w:val="Heading2"/>
        <w:bidi w:val="0"/>
        <w:spacing w:before="200" w:after="120"/>
        <w:jc w:val="start"/>
        <w:rPr/>
      </w:pPr>
      <w:r>
        <w:rPr/>
        <w:t xml:space="preserve">Effects of bosentan and losartan on kidney and liver weight in 2K1C hypertensive rats. </w:t>
      </w:r>
    </w:p>
    <w:p>
      <w:pPr>
        <w:pStyle w:val="Heading2"/>
        <w:bidi w:val="0"/>
        <w:jc w:val="start"/>
        <w:rPr/>
      </w:pPr>
      <w:r>
        <w:rPr/>
        <w:t xml:space="preserve">Introduction </w:t>
      </w:r>
    </w:p>
    <w:p>
      <w:pPr>
        <w:pStyle w:val="TextBody"/>
        <w:bidi w:val="0"/>
        <w:spacing w:before="0" w:after="283"/>
        <w:jc w:val="start"/>
        <w:rPr/>
      </w:pPr>
      <w:r>
        <w:rPr/>
        <w:t xml:space="preserve">Hypertension (HTN) has important contribution in cardiovascular risk factors, it has great consideration by the researchers, therefore, several animal models have been developed to investigate consequences of HTN. The most well known model is Goldblatt model. Which is a widely used for renovascular HTN (Badyal </w:t>
      </w:r>
      <w:r>
        <w:rPr>
          <w:rStyle w:val="Emphasis"/>
        </w:rPr>
        <w:t xml:space="preserve">et al </w:t>
      </w:r>
      <w:r>
        <w:rPr/>
        <w:t xml:space="preserve">., 2003). The 2K1C Goldblatt model is induced by using silver clip on unilateral stenosis of the renal artery and the other kidney untouched (Chabielska </w:t>
      </w:r>
      <w:r>
        <w:rPr>
          <w:rStyle w:val="Emphasis"/>
        </w:rPr>
        <w:t xml:space="preserve">et al </w:t>
      </w:r>
      <w:r>
        <w:rPr/>
        <w:t xml:space="preserve">., 2000). </w:t>
      </w:r>
    </w:p>
    <w:p>
      <w:pPr>
        <w:pStyle w:val="TextBody"/>
        <w:bidi w:val="0"/>
        <w:spacing w:before="0" w:after="283"/>
        <w:jc w:val="start"/>
        <w:rPr/>
      </w:pPr>
      <w:r>
        <w:rPr/>
        <w:t xml:space="preserve">The 2k1C Goldblatt model decrease the renal function (Sporkova </w:t>
      </w:r>
      <w:r>
        <w:rPr>
          <w:rStyle w:val="Emphasis"/>
        </w:rPr>
        <w:t xml:space="preserve">et al., </w:t>
      </w:r>
      <w:r>
        <w:rPr/>
        <w:t xml:space="preserve">2011) through elevation plasma Ang II, several potential interactions are revealed between ET-1 and Ang II, ET-1 can stimulate aldosterone secretion and increasing adrenal cortex cell proliferation (Rossi </w:t>
      </w:r>
      <w:r>
        <w:rPr>
          <w:rStyle w:val="Emphasis"/>
        </w:rPr>
        <w:t xml:space="preserve">et al. </w:t>
      </w:r>
      <w:r>
        <w:rPr/>
        <w:t xml:space="preserve">, 2000). </w:t>
      </w:r>
    </w:p>
    <w:p>
      <w:pPr>
        <w:pStyle w:val="TextBody"/>
        <w:bidi w:val="0"/>
        <w:spacing w:before="0" w:after="283"/>
        <w:jc w:val="start"/>
        <w:rPr/>
      </w:pPr>
      <w:r>
        <w:rPr/>
        <w:t xml:space="preserve">In addition, ET-1 in the hypertension is controversial subject among researchers over two decades from ET-1discovery time (Yanagisawa </w:t>
      </w:r>
      <w:r>
        <w:rPr>
          <w:rStyle w:val="Emphasis"/>
        </w:rPr>
        <w:t xml:space="preserve">et al., </w:t>
      </w:r>
      <w:r>
        <w:rPr/>
        <w:t xml:space="preserve">1988 </w:t>
      </w:r>
      <w:r>
        <w:rPr>
          <w:rStyle w:val="Emphasis"/>
        </w:rPr>
        <w:t xml:space="preserve">; </w:t>
      </w:r>
      <w:r>
        <w:rPr/>
        <w:t xml:space="preserve">Dhaun </w:t>
      </w:r>
      <w:r>
        <w:rPr>
          <w:rStyle w:val="Emphasis"/>
        </w:rPr>
        <w:t xml:space="preserve">et al </w:t>
      </w:r>
      <w:r>
        <w:rPr/>
        <w:t xml:space="preserve">., 2008). Schiffrin (1995) Reported that plasma ET-1 concentration is elevated in essential hypertention and Goldblatt model. It is responsible for constricting vascular beds, increase smooth muscle hypertrophy and proliferation and leads to increase vascular resistance, decline renal function and then hypertension. Giersbergen (2002) said that ET-1 and Ang II, they are increases catabolic enzymes which are responsible on growth regulation. When, Ang II antagonist given rats caused decreasing drinking behavior such as losartan because, it could pass blood – brain – barrier reduce response to intraventricular angiotensin II (Palmer </w:t>
      </w:r>
      <w:r>
        <w:rPr>
          <w:rStyle w:val="Emphasis"/>
        </w:rPr>
        <w:t xml:space="preserve">et al </w:t>
      </w:r>
      <w:r>
        <w:rPr/>
        <w:t xml:space="preserve">., 1994) </w:t>
      </w:r>
    </w:p>
    <w:p>
      <w:pPr>
        <w:pStyle w:val="TextBody"/>
        <w:bidi w:val="0"/>
        <w:spacing w:before="0" w:after="283"/>
        <w:jc w:val="start"/>
        <w:rPr/>
      </w:pPr>
      <w:r>
        <w:rPr/>
        <w:t xml:space="preserve">The identification of ET receptor subtypes led to understand the types and their structure. They participated greatly in pathophysiology, for that reason scientists attempt to block ET signal receptors by peptide and non peptide substances. Davenport and Battistini (2002) revealed that ET receptor antagonists are currently classified as ET </w:t>
      </w:r>
      <w:r>
        <w:rPr>
          <w:position w:val="-2"/>
          <w:sz w:val="19"/>
        </w:rPr>
        <w:t xml:space="preserve">A </w:t>
      </w:r>
      <w:r>
        <w:rPr/>
        <w:t xml:space="preserve">selective (BQ 123), ET </w:t>
      </w:r>
      <w:r>
        <w:rPr>
          <w:position w:val="-2"/>
          <w:sz w:val="19"/>
        </w:rPr>
        <w:t xml:space="preserve">B </w:t>
      </w:r>
      <w:r>
        <w:rPr/>
        <w:t xml:space="preserve">selective (BQ 788), or mixed antagonists that display similar affinities for both receptor subtypes. However, only ET </w:t>
      </w:r>
      <w:r>
        <w:rPr>
          <w:position w:val="-2"/>
          <w:sz w:val="19"/>
        </w:rPr>
        <w:t xml:space="preserve">A </w:t>
      </w:r>
      <w:r>
        <w:rPr/>
        <w:t xml:space="preserve">selective or ET </w:t>
      </w:r>
      <w:r>
        <w:rPr>
          <w:position w:val="-2"/>
          <w:sz w:val="19"/>
        </w:rPr>
        <w:t xml:space="preserve">A </w:t>
      </w:r>
      <w:r>
        <w:rPr/>
        <w:t xml:space="preserve">/ ET </w:t>
      </w:r>
      <w:r>
        <w:rPr>
          <w:position w:val="-2"/>
          <w:sz w:val="19"/>
        </w:rPr>
        <w:t xml:space="preserve">B </w:t>
      </w:r>
      <w:r>
        <w:rPr/>
        <w:t xml:space="preserve">(Bosentan) antagonists are currently being evaluated in clinical trials. </w:t>
      </w:r>
    </w:p>
    <w:p>
      <w:pPr>
        <w:pStyle w:val="TextBody"/>
        <w:bidi w:val="0"/>
        <w:spacing w:before="0" w:after="283"/>
        <w:jc w:val="start"/>
        <w:rPr/>
      </w:pPr>
      <w:r>
        <w:rPr/>
        <w:t xml:space="preserve">There are little known about the physiological actions of Endothelin-1 and Angiotensin II on kidney and liver weight in 2K1C induced hypertensive rats and there are few knowledge about their antagonists (bosentan and losartan) on 2K1C rat models. For that reason the following object was performed in the present study. </w:t>
      </w:r>
    </w:p>
    <w:p>
      <w:pPr>
        <w:pStyle w:val="Heading2"/>
        <w:bidi w:val="0"/>
        <w:jc w:val="start"/>
        <w:rPr/>
      </w:pPr>
      <w:r>
        <w:rPr/>
        <w:t xml:space="preserve">Materials and Methods. </w:t>
      </w:r>
    </w:p>
    <w:p>
      <w:pPr>
        <w:pStyle w:val="Heading3"/>
        <w:bidi w:val="0"/>
        <w:jc w:val="start"/>
        <w:rPr/>
      </w:pPr>
      <w:r>
        <w:rPr/>
        <w:t xml:space="preserve">Animals </w:t>
      </w:r>
    </w:p>
    <w:p>
      <w:pPr>
        <w:pStyle w:val="TextBody"/>
        <w:bidi w:val="0"/>
        <w:spacing w:before="0" w:after="283"/>
        <w:jc w:val="start"/>
        <w:rPr/>
      </w:pPr>
      <w:r>
        <w:rPr/>
        <w:t xml:space="preserve">Albino rats ( </w:t>
      </w:r>
      <w:r>
        <w:rPr>
          <w:rStyle w:val="Emphasis"/>
        </w:rPr>
        <w:t xml:space="preserve">Rattus norvegicus </w:t>
      </w:r>
      <w:r>
        <w:rPr/>
        <w:t xml:space="preserve">) were bred in the animal house that belongs to Biology Dept. /College of Science/University of Salahaddin/ Hawler. After many generation of breeding, experiments were performed on ninety nine male rats weights between 200 – 400 grams. Male rats were used in preference female rats, because female resistance for hypertension due to high amount of estrogen (Cotter </w:t>
      </w:r>
      <w:r>
        <w:rPr>
          <w:rStyle w:val="Emphasis"/>
        </w:rPr>
        <w:t xml:space="preserve">et al </w:t>
      </w:r>
      <w:r>
        <w:rPr/>
        <w:t xml:space="preserve">., 1990). Animals were given standard rat diet. The room temperature controlled in range 22±2 C </w:t>
      </w:r>
      <w:r>
        <w:rPr>
          <w:position w:val="8"/>
          <w:sz w:val="19"/>
        </w:rPr>
        <w:t xml:space="preserve">o </w:t>
      </w:r>
      <w:r>
        <w:rPr/>
        <w:t xml:space="preserve">and 12/12 dark cycle photoperiod. </w:t>
      </w:r>
    </w:p>
    <w:p>
      <w:pPr>
        <w:pStyle w:val="Heading3"/>
        <w:bidi w:val="0"/>
        <w:jc w:val="start"/>
        <w:rPr/>
      </w:pPr>
      <w:r>
        <w:rPr/>
        <w:t xml:space="preserve">Experimental design </w:t>
      </w:r>
    </w:p>
    <w:p>
      <w:pPr>
        <w:pStyle w:val="TextBody"/>
        <w:bidi w:val="0"/>
        <w:spacing w:before="0" w:after="283"/>
        <w:jc w:val="start"/>
        <w:rPr/>
      </w:pPr>
      <w:r>
        <w:rPr/>
        <w:t xml:space="preserve">This experiment was designed to develop renovascular hypertensive rats throught two kidney one clip (2K1C) Goldblatt model, then treating them by bosentan which is ET-1 </w:t>
      </w:r>
      <w:r>
        <w:rPr>
          <w:position w:val="-2"/>
          <w:sz w:val="19"/>
        </w:rPr>
        <w:t xml:space="preserve">A/B </w:t>
      </w:r>
      <w:r>
        <w:rPr/>
        <w:t xml:space="preserve">receptors antagonist and Losartan (Ang II receptor A antagonist). The goal of this experiment was performed by five groups of rats. Each of them has same animal house conditions. They were different according to follow situations </w:t>
      </w:r>
    </w:p>
    <w:p>
      <w:pPr>
        <w:pStyle w:val="TextBody"/>
        <w:bidi w:val="0"/>
        <w:spacing w:before="0" w:after="283"/>
        <w:jc w:val="start"/>
        <w:rPr/>
      </w:pPr>
      <w:r>
        <w:rPr/>
        <w:t xml:space="preserve">Group 1: Sham rats (n= 9) </w:t>
      </w:r>
    </w:p>
    <w:p>
      <w:pPr>
        <w:pStyle w:val="TextBody"/>
        <w:bidi w:val="0"/>
        <w:spacing w:before="0" w:after="283"/>
        <w:jc w:val="start"/>
        <w:rPr/>
      </w:pPr>
      <w:r>
        <w:rPr/>
        <w:t xml:space="preserve">Rats underwent left abdominal incision and all surgical procedure without using silver clip. They were given one ml normal saline (0. 9%) by gavage every day between 8 am to 9: 30 am for four weeks. </w:t>
      </w:r>
    </w:p>
    <w:p>
      <w:pPr>
        <w:pStyle w:val="TextBody"/>
        <w:bidi w:val="0"/>
        <w:spacing w:before="0" w:after="283"/>
        <w:jc w:val="start"/>
        <w:rPr/>
      </w:pPr>
      <w:r>
        <w:rPr/>
        <w:t xml:space="preserve">Group 2: Normotensive (2K1C </w:t>
      </w:r>
      <w:r>
        <w:rPr>
          <w:position w:val="-2"/>
          <w:sz w:val="19"/>
        </w:rPr>
        <w:t xml:space="preserve">(n) </w:t>
      </w:r>
      <w:r>
        <w:rPr/>
        <w:t xml:space="preserve">) rats (n= 7) </w:t>
      </w:r>
    </w:p>
    <w:p>
      <w:pPr>
        <w:pStyle w:val="TextBody"/>
        <w:bidi w:val="0"/>
        <w:spacing w:before="0" w:after="283"/>
        <w:jc w:val="start"/>
        <w:rPr/>
      </w:pPr>
      <w:r>
        <w:rPr/>
        <w:t xml:space="preserve">Rats had silver clip around left renal artery would not developed hypertension. They were administered normal saline (0. 9%)by gavage every day between 8 am to 9: 30 am for four weeks. </w:t>
      </w:r>
    </w:p>
    <w:p>
      <w:pPr>
        <w:pStyle w:val="TextBody"/>
        <w:bidi w:val="0"/>
        <w:spacing w:before="0" w:after="283"/>
        <w:jc w:val="start"/>
        <w:rPr/>
      </w:pPr>
      <w:r>
        <w:rPr/>
        <w:t xml:space="preserve">Group 3: 2K1C </w:t>
      </w:r>
      <w:r>
        <w:rPr>
          <w:position w:val="-2"/>
          <w:sz w:val="19"/>
        </w:rPr>
        <w:t xml:space="preserve">(h) </w:t>
      </w:r>
      <w:r>
        <w:rPr/>
        <w:t xml:space="preserve">rats (n= 7) </w:t>
      </w:r>
    </w:p>
    <w:p>
      <w:pPr>
        <w:pStyle w:val="TextBody"/>
        <w:bidi w:val="0"/>
        <w:spacing w:before="0" w:after="283"/>
        <w:jc w:val="start"/>
        <w:rPr/>
      </w:pPr>
      <w:r>
        <w:rPr/>
        <w:t xml:space="preserve">Rats had silver clip around left renal artery with developed hypertension. They were taken normal saline (0. 9%) every day between 8 am to 9: 30 am for four weeks. </w:t>
      </w:r>
    </w:p>
    <w:p>
      <w:pPr>
        <w:pStyle w:val="TextBody"/>
        <w:bidi w:val="0"/>
        <w:spacing w:before="0" w:after="283"/>
        <w:jc w:val="start"/>
        <w:rPr/>
      </w:pPr>
      <w:r>
        <w:rPr/>
        <w:t xml:space="preserve">Group 4: 2K1C </w:t>
      </w:r>
      <w:r>
        <w:rPr>
          <w:position w:val="-2"/>
          <w:sz w:val="19"/>
        </w:rPr>
        <w:t xml:space="preserve">(h) </w:t>
      </w:r>
      <w:r>
        <w:rPr/>
        <w:t xml:space="preserve">+ Bosentanrats (n= 8) </w:t>
      </w:r>
    </w:p>
    <w:p>
      <w:pPr>
        <w:pStyle w:val="TextBody"/>
        <w:bidi w:val="0"/>
        <w:spacing w:before="0" w:after="283"/>
        <w:jc w:val="start"/>
        <w:rPr/>
      </w:pPr>
      <w:r>
        <w:rPr/>
        <w:t xml:space="preserve">Rats had silver clip around left renal artery developed hypertension then treated by bosentan 30mg/kg (Cipla, India) every day between 8 am to 9: 30 am by gavage after three weeks of surgery from developed hypertension continued for four weeks (Lee </w:t>
      </w:r>
      <w:r>
        <w:rPr>
          <w:rStyle w:val="Emphasis"/>
        </w:rPr>
        <w:t xml:space="preserve">et al </w:t>
      </w:r>
      <w:r>
        <w:rPr/>
        <w:t xml:space="preserve">., 2007) </w:t>
      </w:r>
    </w:p>
    <w:p>
      <w:pPr>
        <w:pStyle w:val="TextBody"/>
        <w:bidi w:val="0"/>
        <w:spacing w:before="0" w:after="283"/>
        <w:jc w:val="start"/>
        <w:rPr/>
      </w:pPr>
      <w:r>
        <w:rPr/>
        <w:t xml:space="preserve">Group 5: 2K1C </w:t>
      </w:r>
      <w:r>
        <w:rPr>
          <w:position w:val="-2"/>
          <w:sz w:val="19"/>
        </w:rPr>
        <w:t xml:space="preserve">(h) </w:t>
      </w:r>
      <w:r>
        <w:rPr/>
        <w:t xml:space="preserve">+ Losartan(n= 8) </w:t>
      </w:r>
    </w:p>
    <w:p>
      <w:pPr>
        <w:pStyle w:val="TextBody"/>
        <w:bidi w:val="0"/>
        <w:spacing w:before="0" w:after="283"/>
        <w:jc w:val="start"/>
        <w:rPr/>
      </w:pPr>
      <w:r>
        <w:rPr/>
        <w:t xml:space="preserve">Rats had silver clip around left renal artery developed hypertension then Losartan (Actavis, Icelanda) was administrated by gavaging 30mg/kg every day between 8 am to 9: 30 am after three weeks of surgery from developed hypertension continued until four weeks (Moosavi and Johns, 1999). </w:t>
      </w:r>
    </w:p>
    <w:p>
      <w:pPr>
        <w:pStyle w:val="Heading3"/>
        <w:bidi w:val="0"/>
        <w:jc w:val="start"/>
        <w:rPr/>
      </w:pPr>
      <w:r>
        <w:rPr/>
        <w:t xml:space="preserve">Preparation of animals for 2K1C Goldblatt hypertension </w:t>
      </w:r>
    </w:p>
    <w:p>
      <w:pPr>
        <w:pStyle w:val="TextBody"/>
        <w:bidi w:val="0"/>
        <w:spacing w:before="0" w:after="283"/>
        <w:jc w:val="start"/>
        <w:rPr/>
      </w:pPr>
      <w:r>
        <w:rPr/>
        <w:t xml:space="preserve">Animals were anesthetized by injection with mixture of Ketamine hydrochloride 80mg/Kg (Trittau, Germany) and Xylazin 12mg/Kg (Interchem, Holland) intraperitonealy (Reineke </w:t>
      </w:r>
      <w:r>
        <w:rPr>
          <w:rStyle w:val="Emphasis"/>
        </w:rPr>
        <w:t xml:space="preserve">et al </w:t>
      </w:r>
      <w:r>
        <w:rPr/>
        <w:t xml:space="preserve">., 2003). Left abdominal side was cleaned from fur, sterilized by idophore and 4-5cm flank incision was made to expose left kidney then carefully dissected and freed left renal artery from left renal vein. AUshaped silver clip internal diameter (0. 25-0. 3) mm was placed around left renal artery, causing partial occlusion, decrease 70% blood flow. The right kidney was untouched (Sigmon, and Beierwaltes, 1993). </w:t>
      </w:r>
    </w:p>
    <w:p>
      <w:pPr>
        <w:pStyle w:val="TextBody"/>
        <w:bidi w:val="0"/>
        <w:spacing w:before="0" w:after="283"/>
        <w:jc w:val="start"/>
        <w:rPr/>
      </w:pPr>
      <w:r>
        <w:rPr/>
        <w:t xml:space="preserve">After, the clipping process was successfully performed, the left kidney was slowly pushed back into retroperitoneal cavity, the wound was cleaned by sterilized solution, the abdominal muscle was sutured by 3. 0 gage chromic gut suture and the abdominal skin sutured by Ethilon monofilament nylon suture 3. 0 gage. The wound again was sterilized then gauze placed above the sewed wound. Continuous heating was done to animals for 24 hours and they were kept inside a cage with free access for food and water. The whole procedure on sham group were done except clipped silver clip around left renal artery (Cotter </w:t>
      </w:r>
      <w:r>
        <w:rPr>
          <w:rStyle w:val="Emphasis"/>
        </w:rPr>
        <w:t xml:space="preserve">et al </w:t>
      </w:r>
      <w:r>
        <w:rPr/>
        <w:t xml:space="preserve">., 1990). </w:t>
      </w:r>
    </w:p>
    <w:p>
      <w:pPr>
        <w:pStyle w:val="Heading4"/>
        <w:bidi w:val="0"/>
        <w:jc w:val="start"/>
        <w:rPr/>
      </w:pPr>
      <w:r>
        <w:rPr/>
        <w:t xml:space="preserve">Organ weights </w:t>
      </w:r>
    </w:p>
    <w:p>
      <w:pPr>
        <w:pStyle w:val="TextBody"/>
        <w:bidi w:val="0"/>
        <w:spacing w:before="0" w:after="283"/>
        <w:jc w:val="start"/>
        <w:rPr/>
      </w:pPr>
      <w:r>
        <w:rPr/>
        <w:t xml:space="preserve">Abdominal skin and muscle of rats were removed by curved scissors. Rat’s organs were separated, cut and transferred into a clean petridish. Weighed (Mettler PM200) and recorded. Then, rat’s organ weight mathematically converted to per 100 body weight. </w:t>
      </w:r>
    </w:p>
    <w:p>
      <w:pPr>
        <w:pStyle w:val="Heading4"/>
        <w:bidi w:val="0"/>
        <w:jc w:val="start"/>
        <w:rPr/>
      </w:pPr>
      <w:r>
        <w:rPr/>
        <w:t xml:space="preserve">Collection of Urine samples </w:t>
      </w:r>
    </w:p>
    <w:p>
      <w:pPr>
        <w:pStyle w:val="TextBody"/>
        <w:bidi w:val="0"/>
        <w:spacing w:before="0" w:after="283"/>
        <w:jc w:val="start"/>
        <w:rPr/>
      </w:pPr>
      <w:r>
        <w:rPr/>
        <w:t xml:space="preserve">After three weeks of surgery, the animals were weighed and kept in the urine collector individually with water (100 ml) and standard rodent diet 20 grams. In the next day, the amount of urine was collected and stored in refrigerator until assay. It was repeated once a week for four weeks. </w:t>
      </w:r>
    </w:p>
    <w:p>
      <w:pPr>
        <w:pStyle w:val="Heading4"/>
        <w:bidi w:val="0"/>
        <w:jc w:val="start"/>
        <w:rPr/>
      </w:pPr>
      <w:r>
        <w:rPr/>
        <w:t xml:space="preserve">Water and food intake </w:t>
      </w:r>
    </w:p>
    <w:p>
      <w:pPr>
        <w:pStyle w:val="TextBody"/>
        <w:bidi w:val="0"/>
        <w:spacing w:before="0" w:after="283"/>
        <w:jc w:val="start"/>
        <w:rPr/>
      </w:pPr>
      <w:r>
        <w:rPr/>
        <w:t xml:space="preserve">Animals were left in urine collector and ambient conditions were controlled, after 24 hours amount of water intake measured (100 ml – amount of water drunk) and amount of food intake measured (20 g – amount of food eaten). This was continued for four weeks. </w:t>
      </w:r>
    </w:p>
    <w:p>
      <w:pPr>
        <w:pStyle w:val="Heading2"/>
        <w:bidi w:val="0"/>
        <w:jc w:val="start"/>
        <w:rPr/>
      </w:pPr>
      <w:r>
        <w:rPr/>
        <w:t xml:space="preserve">Results </w:t>
      </w:r>
    </w:p>
    <w:p>
      <w:pPr>
        <w:pStyle w:val="TextBody"/>
        <w:bidi w:val="0"/>
        <w:spacing w:before="0" w:after="283"/>
        <w:jc w:val="start"/>
        <w:rPr/>
      </w:pPr>
      <w:r>
        <w:rPr/>
        <w:t xml:space="preserve">As shown (Table 4. 8) administration of bosentan and losartan caused a significant reduction in body weight at week six after surgery (248. 3 ± 21. 74, 256. 7 ± 10. 86), respectively as compared with 2K1C </w:t>
      </w:r>
      <w:r>
        <w:rPr>
          <w:position w:val="-2"/>
          <w:sz w:val="19"/>
        </w:rPr>
        <w:t xml:space="preserve">(h) </w:t>
      </w:r>
      <w:r>
        <w:rPr/>
        <w:t xml:space="preserve">(304. 7 ± 8. 554). </w:t>
      </w:r>
    </w:p>
    <w:p>
      <w:pPr>
        <w:pStyle w:val="TextBody"/>
        <w:bidi w:val="0"/>
        <w:spacing w:before="0" w:after="283"/>
        <w:jc w:val="start"/>
        <w:rPr/>
      </w:pPr>
      <w:r>
        <w:rPr/>
        <w:t xml:space="preserve">The process of clipping for eight weeks on left renal artery caused a significant decrease in left kidney weight compared with sham group. However, such reduction of weight in 2K1C </w:t>
      </w:r>
      <w:r>
        <w:rPr>
          <w:position w:val="-2"/>
          <w:sz w:val="19"/>
        </w:rPr>
        <w:t xml:space="preserve">(h) </w:t>
      </w:r>
      <w:r>
        <w:rPr/>
        <w:t xml:space="preserve">rats (0. 0025 ± 0. 0004) was more than 2K1C </w:t>
      </w:r>
      <w:r>
        <w:rPr>
          <w:position w:val="-2"/>
          <w:sz w:val="19"/>
        </w:rPr>
        <w:t xml:space="preserve">(n) </w:t>
      </w:r>
      <w:r>
        <w:rPr/>
        <w:t xml:space="preserve">rats (0. 0080 ± 0. 001) Table (4. 9). Also, constriction left renal artery caused increases (P &lt;0. 05) in right kidney weight in 2K1C </w:t>
      </w:r>
      <w:r>
        <w:rPr>
          <w:position w:val="-2"/>
          <w:sz w:val="19"/>
        </w:rPr>
        <w:t xml:space="preserve">(h) </w:t>
      </w:r>
      <w:r>
        <w:rPr/>
        <w:t xml:space="preserve">rats as compared with sham. While, losartan and bosentan could decrease right kidney significantly (P &lt;0. 05) in comparison with 2K1C </w:t>
      </w:r>
      <w:r>
        <w:rPr>
          <w:position w:val="-2"/>
          <w:sz w:val="19"/>
        </w:rPr>
        <w:t xml:space="preserve">(h) </w:t>
      </w:r>
      <w:r>
        <w:rPr/>
        <w:t xml:space="preserve">rats. In addition, both bosentan (0. 0553 ± 0. 0035) and losartan (0. 0578 ± 0. 0078) administration would decrease in liver weight which was statistically significant (P &lt;0. 05) in comparison with hypertensive rats (0. 0756 ± 0. 0027). While there were no significant changes among nomotensive, hypertensive and sham group (Table 4. 9). </w:t>
      </w:r>
    </w:p>
    <w:tbl>
      <w:tblPr>
        <w:tblW w:w="4490" w:type="dxa"/>
        <w:jc w:val="start"/>
        <w:tblInd w:w="0" w:type="dxa"/>
        <w:tblLayout w:type="fixed"/>
        <w:tblCellMar>
          <w:top w:w="28" w:type="dxa"/>
          <w:start w:w="28" w:type="dxa"/>
          <w:bottom w:w="28" w:type="dxa"/>
          <w:end w:w="28" w:type="dxa"/>
        </w:tblCellMar>
      </w:tblPr>
      <w:tblGrid>
        <w:gridCol w:w="1201"/>
        <w:gridCol w:w="811"/>
        <w:gridCol w:w="811"/>
        <w:gridCol w:w="811"/>
        <w:gridCol w:w="856"/>
      </w:tblGrid>
      <w:tr>
        <w:trPr/>
        <w:tc>
          <w:tcPr>
            <w:tcW w:w="1201" w:type="dxa"/>
            <w:tcBorders/>
            <w:vAlign w:val="center"/>
          </w:tcPr>
          <w:p>
            <w:pPr>
              <w:pStyle w:val="TableContents"/>
              <w:bidi w:val="0"/>
              <w:jc w:val="start"/>
              <w:rPr/>
            </w:pPr>
            <w:r>
              <w:rPr/>
              <w:t xml:space="preserve">Weeks </w:t>
            </w:r>
          </w:p>
          <w:p>
            <w:pPr>
              <w:pStyle w:val="TableContents"/>
              <w:bidi w:val="0"/>
              <w:spacing w:before="0" w:after="283"/>
              <w:jc w:val="start"/>
              <w:rPr/>
            </w:pPr>
            <w:r>
              <w:rPr/>
              <w:t xml:space="preserve">Groups </w:t>
            </w:r>
          </w:p>
        </w:tc>
        <w:tc>
          <w:tcPr>
            <w:tcW w:w="811" w:type="dxa"/>
            <w:tcBorders/>
            <w:vAlign w:val="center"/>
          </w:tcPr>
          <w:p>
            <w:pPr>
              <w:pStyle w:val="TableContents"/>
              <w:bidi w:val="0"/>
              <w:jc w:val="start"/>
              <w:rPr/>
            </w:pPr>
            <w:r>
              <w:rPr/>
              <w:t xml:space="preserve">Three weeks* </w:t>
            </w:r>
          </w:p>
          <w:p>
            <w:pPr>
              <w:pStyle w:val="TableContents"/>
              <w:bidi w:val="0"/>
              <w:spacing w:before="0" w:after="283"/>
              <w:jc w:val="start"/>
              <w:rPr/>
            </w:pPr>
            <w:r>
              <w:rPr/>
              <w:t xml:space="preserve">after surgery </w:t>
            </w:r>
          </w:p>
        </w:tc>
        <w:tc>
          <w:tcPr>
            <w:tcW w:w="811" w:type="dxa"/>
            <w:tcBorders/>
            <w:vAlign w:val="center"/>
          </w:tcPr>
          <w:p>
            <w:pPr>
              <w:pStyle w:val="TableContents"/>
              <w:bidi w:val="0"/>
              <w:jc w:val="start"/>
              <w:rPr/>
            </w:pPr>
            <w:r>
              <w:rPr/>
              <w:t xml:space="preserve">Four weeks** </w:t>
            </w:r>
          </w:p>
          <w:p>
            <w:pPr>
              <w:pStyle w:val="TableContents"/>
              <w:bidi w:val="0"/>
              <w:spacing w:before="0" w:after="283"/>
              <w:jc w:val="start"/>
              <w:rPr/>
            </w:pPr>
            <w:r>
              <w:rPr/>
              <w:t xml:space="preserve">after surgery </w:t>
            </w:r>
          </w:p>
        </w:tc>
        <w:tc>
          <w:tcPr>
            <w:tcW w:w="811" w:type="dxa"/>
            <w:tcBorders/>
            <w:vAlign w:val="center"/>
          </w:tcPr>
          <w:p>
            <w:pPr>
              <w:pStyle w:val="TableContents"/>
              <w:bidi w:val="0"/>
              <w:jc w:val="start"/>
              <w:rPr/>
            </w:pPr>
            <w:r>
              <w:rPr/>
              <w:t xml:space="preserve">Five weeks* </w:t>
            </w:r>
          </w:p>
          <w:p>
            <w:pPr>
              <w:pStyle w:val="TableContents"/>
              <w:bidi w:val="0"/>
              <w:spacing w:before="0" w:after="283"/>
              <w:jc w:val="start"/>
              <w:rPr/>
            </w:pPr>
            <w:r>
              <w:rPr/>
              <w:t xml:space="preserve">after surgery </w:t>
            </w:r>
          </w:p>
        </w:tc>
        <w:tc>
          <w:tcPr>
            <w:tcW w:w="856" w:type="dxa"/>
            <w:tcBorders/>
            <w:vAlign w:val="center"/>
          </w:tcPr>
          <w:p>
            <w:pPr>
              <w:pStyle w:val="TableContents"/>
              <w:bidi w:val="0"/>
              <w:jc w:val="start"/>
              <w:rPr/>
            </w:pPr>
            <w:r>
              <w:rPr/>
              <w:t xml:space="preserve">Six weeks * </w:t>
            </w:r>
          </w:p>
          <w:p>
            <w:pPr>
              <w:pStyle w:val="TableContents"/>
              <w:bidi w:val="0"/>
              <w:spacing w:before="0" w:after="283"/>
              <w:jc w:val="start"/>
              <w:rPr/>
            </w:pPr>
            <w:r>
              <w:rPr/>
              <w:t xml:space="preserve">after surgery </w:t>
            </w:r>
          </w:p>
        </w:tc>
      </w:tr>
      <w:tr>
        <w:trPr/>
        <w:tc>
          <w:tcPr>
            <w:tcW w:w="1201" w:type="dxa"/>
            <w:tcBorders/>
            <w:vAlign w:val="center"/>
          </w:tcPr>
          <w:p>
            <w:pPr>
              <w:pStyle w:val="TableContents"/>
              <w:bidi w:val="0"/>
              <w:spacing w:before="0" w:after="283"/>
              <w:jc w:val="start"/>
              <w:rPr/>
            </w:pPr>
            <w:r>
              <w:rPr/>
              <w:t xml:space="preserve">Sham </w:t>
            </w:r>
          </w:p>
        </w:tc>
        <w:tc>
          <w:tcPr>
            <w:tcW w:w="811" w:type="dxa"/>
            <w:tcBorders/>
            <w:vAlign w:val="center"/>
          </w:tcPr>
          <w:p>
            <w:pPr>
              <w:pStyle w:val="TableContents"/>
              <w:bidi w:val="0"/>
              <w:spacing w:before="0" w:after="283"/>
              <w:jc w:val="start"/>
              <w:rPr/>
            </w:pPr>
            <w:r>
              <w:rPr/>
              <w:t xml:space="preserve">282. 2 ± 9. 523 </w:t>
            </w:r>
            <w:r>
              <w:rPr>
                <w:position w:val="8"/>
                <w:sz w:val="19"/>
              </w:rPr>
              <w:t xml:space="preserve">b </w:t>
            </w:r>
          </w:p>
        </w:tc>
        <w:tc>
          <w:tcPr>
            <w:tcW w:w="811" w:type="dxa"/>
            <w:tcBorders/>
            <w:vAlign w:val="center"/>
          </w:tcPr>
          <w:p>
            <w:pPr>
              <w:pStyle w:val="TableContents"/>
              <w:bidi w:val="0"/>
              <w:spacing w:before="0" w:after="283"/>
              <w:jc w:val="start"/>
              <w:rPr/>
            </w:pPr>
            <w:r>
              <w:rPr/>
              <w:t xml:space="preserve">283. 7 ± 8. 453 </w:t>
            </w:r>
            <w:r>
              <w:rPr>
                <w:position w:val="8"/>
                <w:sz w:val="19"/>
              </w:rPr>
              <w:t xml:space="preserve">b </w:t>
            </w:r>
          </w:p>
        </w:tc>
        <w:tc>
          <w:tcPr>
            <w:tcW w:w="811" w:type="dxa"/>
            <w:tcBorders/>
            <w:vAlign w:val="center"/>
          </w:tcPr>
          <w:p>
            <w:pPr>
              <w:pStyle w:val="TableContents"/>
              <w:bidi w:val="0"/>
              <w:spacing w:before="0" w:after="283"/>
              <w:jc w:val="start"/>
              <w:rPr/>
            </w:pPr>
            <w:r>
              <w:rPr/>
              <w:t xml:space="preserve">307. 4 ± 33. 15 </w:t>
            </w:r>
            <w:r>
              <w:rPr>
                <w:position w:val="8"/>
                <w:sz w:val="19"/>
              </w:rPr>
              <w:t xml:space="preserve">b </w:t>
            </w:r>
          </w:p>
        </w:tc>
        <w:tc>
          <w:tcPr>
            <w:tcW w:w="856" w:type="dxa"/>
            <w:tcBorders/>
            <w:vAlign w:val="center"/>
          </w:tcPr>
          <w:p>
            <w:pPr>
              <w:pStyle w:val="TableContents"/>
              <w:bidi w:val="0"/>
              <w:spacing w:before="0" w:after="283"/>
              <w:jc w:val="start"/>
              <w:rPr/>
            </w:pPr>
            <w:r>
              <w:rPr/>
              <w:t xml:space="preserve">309. 6 ± 13. 19 </w:t>
            </w:r>
            <w:r>
              <w:rPr>
                <w:position w:val="8"/>
                <w:sz w:val="19"/>
              </w:rPr>
              <w:t xml:space="preserve">b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(n) </w:t>
            </w:r>
          </w:p>
        </w:tc>
        <w:tc>
          <w:tcPr>
            <w:tcW w:w="811" w:type="dxa"/>
            <w:tcBorders/>
            <w:vAlign w:val="center"/>
          </w:tcPr>
          <w:p>
            <w:pPr>
              <w:pStyle w:val="TableContents"/>
              <w:bidi w:val="0"/>
              <w:spacing w:before="0" w:after="283"/>
              <w:jc w:val="start"/>
              <w:rPr/>
            </w:pPr>
            <w:r>
              <w:rPr/>
              <w:t xml:space="preserve">221. 5 ± 18. 08 </w:t>
            </w:r>
            <w:r>
              <w:rPr>
                <w:position w:val="8"/>
                <w:sz w:val="19"/>
              </w:rPr>
              <w:t xml:space="preserve">a </w:t>
            </w:r>
          </w:p>
        </w:tc>
        <w:tc>
          <w:tcPr>
            <w:tcW w:w="811" w:type="dxa"/>
            <w:tcBorders/>
            <w:vAlign w:val="center"/>
          </w:tcPr>
          <w:p>
            <w:pPr>
              <w:pStyle w:val="TableContents"/>
              <w:bidi w:val="0"/>
              <w:spacing w:before="0" w:after="283"/>
              <w:jc w:val="start"/>
              <w:rPr/>
            </w:pPr>
            <w:r>
              <w:rPr/>
              <w:t xml:space="preserve">231. 0 ± 8. 047 </w:t>
            </w:r>
            <w:r>
              <w:rPr>
                <w:position w:val="8"/>
                <w:sz w:val="19"/>
              </w:rPr>
              <w:t xml:space="preserve">a </w:t>
            </w:r>
          </w:p>
        </w:tc>
        <w:tc>
          <w:tcPr>
            <w:tcW w:w="811" w:type="dxa"/>
            <w:tcBorders/>
            <w:vAlign w:val="center"/>
          </w:tcPr>
          <w:p>
            <w:pPr>
              <w:pStyle w:val="TableContents"/>
              <w:bidi w:val="0"/>
              <w:spacing w:before="0" w:after="283"/>
              <w:jc w:val="start"/>
              <w:rPr/>
            </w:pPr>
            <w:r>
              <w:rPr/>
              <w:t xml:space="preserve">286. 2 ± 34. 96 </w:t>
            </w:r>
            <w:r>
              <w:rPr>
                <w:position w:val="8"/>
                <w:sz w:val="19"/>
              </w:rPr>
              <w:t xml:space="preserve">ab </w:t>
            </w:r>
          </w:p>
        </w:tc>
        <w:tc>
          <w:tcPr>
            <w:tcW w:w="856" w:type="dxa"/>
            <w:tcBorders/>
            <w:vAlign w:val="center"/>
          </w:tcPr>
          <w:p>
            <w:pPr>
              <w:pStyle w:val="TableContents"/>
              <w:bidi w:val="0"/>
              <w:spacing w:before="0" w:after="283"/>
              <w:jc w:val="start"/>
              <w:rPr/>
            </w:pPr>
            <w:r>
              <w:rPr/>
              <w:t xml:space="preserve">248. 4 ± 10. 87 </w:t>
            </w:r>
            <w:r>
              <w:rPr>
                <w:position w:val="8"/>
                <w:sz w:val="19"/>
              </w:rPr>
              <w:t xml:space="preserve">a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p>
        </w:tc>
        <w:tc>
          <w:tcPr>
            <w:tcW w:w="811" w:type="dxa"/>
            <w:tcBorders/>
            <w:vAlign w:val="center"/>
          </w:tcPr>
          <w:p>
            <w:pPr>
              <w:pStyle w:val="TableContents"/>
              <w:bidi w:val="0"/>
              <w:spacing w:before="0" w:after="283"/>
              <w:jc w:val="start"/>
              <w:rPr/>
            </w:pPr>
            <w:r>
              <w:rPr/>
              <w:t xml:space="preserve">252. 14 ± 9. 103 </w:t>
            </w:r>
            <w:r>
              <w:rPr>
                <w:position w:val="8"/>
                <w:sz w:val="19"/>
              </w:rPr>
              <w:t xml:space="preserve">ab </w:t>
            </w:r>
          </w:p>
        </w:tc>
        <w:tc>
          <w:tcPr>
            <w:tcW w:w="811" w:type="dxa"/>
            <w:tcBorders/>
            <w:vAlign w:val="center"/>
          </w:tcPr>
          <w:p>
            <w:pPr>
              <w:pStyle w:val="TableContents"/>
              <w:bidi w:val="0"/>
              <w:spacing w:before="0" w:after="283"/>
              <w:jc w:val="start"/>
              <w:rPr/>
            </w:pPr>
            <w:r>
              <w:rPr/>
              <w:t xml:space="preserve">256. 0 ± 13. 33 </w:t>
            </w:r>
            <w:r>
              <w:rPr>
                <w:position w:val="8"/>
                <w:sz w:val="19"/>
              </w:rPr>
              <w:t xml:space="preserve">ab </w:t>
            </w:r>
          </w:p>
        </w:tc>
        <w:tc>
          <w:tcPr>
            <w:tcW w:w="811" w:type="dxa"/>
            <w:tcBorders/>
            <w:vAlign w:val="center"/>
          </w:tcPr>
          <w:p>
            <w:pPr>
              <w:pStyle w:val="TableContents"/>
              <w:bidi w:val="0"/>
              <w:spacing w:before="0" w:after="283"/>
              <w:jc w:val="start"/>
              <w:rPr/>
            </w:pPr>
            <w:r>
              <w:rPr/>
              <w:t xml:space="preserve">299. 1 ± 12. 42 </w:t>
            </w:r>
            <w:r>
              <w:rPr>
                <w:position w:val="8"/>
                <w:sz w:val="19"/>
              </w:rPr>
              <w:t xml:space="preserve">ab </w:t>
            </w:r>
          </w:p>
        </w:tc>
        <w:tc>
          <w:tcPr>
            <w:tcW w:w="856" w:type="dxa"/>
            <w:tcBorders/>
            <w:vAlign w:val="center"/>
          </w:tcPr>
          <w:p>
            <w:pPr>
              <w:pStyle w:val="TableContents"/>
              <w:bidi w:val="0"/>
              <w:spacing w:before="0" w:after="283"/>
              <w:jc w:val="start"/>
              <w:rPr/>
            </w:pPr>
            <w:r>
              <w:rPr/>
              <w:t xml:space="preserve">304. 7 ± 8. 554 </w:t>
            </w:r>
            <w:r>
              <w:rPr>
                <w:position w:val="8"/>
                <w:sz w:val="19"/>
              </w:rPr>
              <w:t xml:space="preserve">b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r>
              <w:rPr/>
              <w:t xml:space="preserve">+ Bosentan </w:t>
            </w:r>
          </w:p>
        </w:tc>
        <w:tc>
          <w:tcPr>
            <w:tcW w:w="811" w:type="dxa"/>
            <w:tcBorders/>
            <w:vAlign w:val="center"/>
          </w:tcPr>
          <w:p>
            <w:pPr>
              <w:pStyle w:val="TableContents"/>
              <w:bidi w:val="0"/>
              <w:spacing w:before="0" w:after="283"/>
              <w:jc w:val="start"/>
              <w:rPr/>
            </w:pPr>
            <w:r>
              <w:rPr/>
              <w:t xml:space="preserve">265. 1 ± 15. 66 </w:t>
            </w:r>
            <w:r>
              <w:rPr>
                <w:position w:val="8"/>
                <w:sz w:val="19"/>
              </w:rPr>
              <w:t xml:space="preserve">b </w:t>
            </w:r>
          </w:p>
        </w:tc>
        <w:tc>
          <w:tcPr>
            <w:tcW w:w="811" w:type="dxa"/>
            <w:tcBorders/>
            <w:vAlign w:val="center"/>
          </w:tcPr>
          <w:p>
            <w:pPr>
              <w:pStyle w:val="TableContents"/>
              <w:bidi w:val="0"/>
              <w:spacing w:before="0" w:after="283"/>
              <w:jc w:val="start"/>
              <w:rPr/>
            </w:pPr>
            <w:r>
              <w:rPr/>
              <w:t xml:space="preserve">254. 8 ± 16. 80 </w:t>
            </w:r>
            <w:r>
              <w:rPr>
                <w:position w:val="8"/>
                <w:sz w:val="19"/>
              </w:rPr>
              <w:t xml:space="preserve">ab </w:t>
            </w:r>
          </w:p>
        </w:tc>
        <w:tc>
          <w:tcPr>
            <w:tcW w:w="811" w:type="dxa"/>
            <w:tcBorders/>
            <w:vAlign w:val="center"/>
          </w:tcPr>
          <w:p>
            <w:pPr>
              <w:pStyle w:val="TableContents"/>
              <w:bidi w:val="0"/>
              <w:spacing w:before="0" w:after="283"/>
              <w:jc w:val="start"/>
              <w:rPr/>
            </w:pPr>
            <w:r>
              <w:rPr/>
              <w:t xml:space="preserve">262. 6 ± 16. 26 </w:t>
            </w:r>
            <w:r>
              <w:rPr>
                <w:position w:val="8"/>
                <w:sz w:val="19"/>
              </w:rPr>
              <w:t xml:space="preserve">a </w:t>
            </w:r>
          </w:p>
        </w:tc>
        <w:tc>
          <w:tcPr>
            <w:tcW w:w="856" w:type="dxa"/>
            <w:tcBorders/>
            <w:vAlign w:val="center"/>
          </w:tcPr>
          <w:p>
            <w:pPr>
              <w:pStyle w:val="TableContents"/>
              <w:bidi w:val="0"/>
              <w:spacing w:before="0" w:after="283"/>
              <w:jc w:val="start"/>
              <w:rPr/>
            </w:pPr>
            <w:r>
              <w:rPr/>
              <w:t xml:space="preserve">248. 3 ± 21. 74 </w:t>
            </w:r>
            <w:r>
              <w:rPr>
                <w:position w:val="8"/>
                <w:sz w:val="19"/>
              </w:rPr>
              <w:t xml:space="preserve">a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r>
              <w:rPr/>
              <w:t xml:space="preserve">+ Losartan </w:t>
            </w:r>
          </w:p>
        </w:tc>
        <w:tc>
          <w:tcPr>
            <w:tcW w:w="811" w:type="dxa"/>
            <w:tcBorders/>
            <w:vAlign w:val="center"/>
          </w:tcPr>
          <w:p>
            <w:pPr>
              <w:pStyle w:val="TableContents"/>
              <w:bidi w:val="0"/>
              <w:spacing w:before="0" w:after="283"/>
              <w:jc w:val="start"/>
              <w:rPr/>
            </w:pPr>
            <w:r>
              <w:rPr/>
              <w:t xml:space="preserve">274. 3 ± 10. 39 </w:t>
            </w:r>
            <w:r>
              <w:rPr>
                <w:position w:val="8"/>
                <w:sz w:val="19"/>
              </w:rPr>
              <w:t xml:space="preserve">b </w:t>
            </w:r>
          </w:p>
        </w:tc>
        <w:tc>
          <w:tcPr>
            <w:tcW w:w="811" w:type="dxa"/>
            <w:tcBorders/>
            <w:vAlign w:val="center"/>
          </w:tcPr>
          <w:p>
            <w:pPr>
              <w:pStyle w:val="TableContents"/>
              <w:bidi w:val="0"/>
              <w:spacing w:before="0" w:after="283"/>
              <w:jc w:val="start"/>
              <w:rPr/>
            </w:pPr>
            <w:r>
              <w:rPr/>
              <w:t xml:space="preserve">256. 3 ± 12. 39 </w:t>
            </w:r>
            <w:r>
              <w:rPr>
                <w:position w:val="8"/>
                <w:sz w:val="19"/>
              </w:rPr>
              <w:t xml:space="preserve">ab </w:t>
            </w:r>
          </w:p>
        </w:tc>
        <w:tc>
          <w:tcPr>
            <w:tcW w:w="811" w:type="dxa"/>
            <w:tcBorders/>
            <w:vAlign w:val="center"/>
          </w:tcPr>
          <w:p>
            <w:pPr>
              <w:pStyle w:val="TableContents"/>
              <w:bidi w:val="0"/>
              <w:spacing w:before="0" w:after="283"/>
              <w:jc w:val="start"/>
              <w:rPr/>
            </w:pPr>
            <w:r>
              <w:rPr/>
              <w:t xml:space="preserve">270. 0 ± 7. 000 </w:t>
            </w:r>
            <w:r>
              <w:rPr>
                <w:position w:val="8"/>
                <w:sz w:val="19"/>
              </w:rPr>
              <w:t xml:space="preserve">ab </w:t>
            </w:r>
          </w:p>
        </w:tc>
        <w:tc>
          <w:tcPr>
            <w:tcW w:w="856" w:type="dxa"/>
            <w:tcBorders/>
            <w:vAlign w:val="center"/>
          </w:tcPr>
          <w:p>
            <w:pPr>
              <w:pStyle w:val="TableContents"/>
              <w:bidi w:val="0"/>
              <w:spacing w:before="0" w:after="283"/>
              <w:jc w:val="start"/>
              <w:rPr/>
            </w:pPr>
            <w:r>
              <w:rPr/>
              <w:t xml:space="preserve">256. 7 ± 10. 86 </w:t>
            </w:r>
            <w:r>
              <w:rPr>
                <w:position w:val="8"/>
                <w:sz w:val="19"/>
              </w:rPr>
              <w:t xml:space="preserve">a </w:t>
            </w:r>
          </w:p>
        </w:tc>
      </w:tr>
    </w:tbl>
    <w:p>
      <w:pPr>
        <w:pStyle w:val="TextBody"/>
        <w:bidi w:val="0"/>
        <w:spacing w:before="0" w:after="283"/>
        <w:jc w:val="start"/>
        <w:rPr/>
      </w:pPr>
      <w:r>
        <w:rPr/>
        <w:t xml:space="preserve">Table 4. 9: Effects of bosentan and Losartan on weights of left kidney, right kidney and liver from third week to sixth week after surgery in 2K1C hypertensive rats. </w:t>
      </w:r>
    </w:p>
    <w:tbl>
      <w:tblPr>
        <w:tblW w:w="4490" w:type="dxa"/>
        <w:jc w:val="start"/>
        <w:tblInd w:w="0" w:type="dxa"/>
        <w:tblLayout w:type="fixed"/>
        <w:tblCellMar>
          <w:top w:w="28" w:type="dxa"/>
          <w:start w:w="28" w:type="dxa"/>
          <w:bottom w:w="28" w:type="dxa"/>
          <w:end w:w="28" w:type="dxa"/>
        </w:tblCellMar>
      </w:tblPr>
      <w:tblGrid>
        <w:gridCol w:w="1406"/>
        <w:gridCol w:w="1064"/>
        <w:gridCol w:w="1064"/>
        <w:gridCol w:w="956"/>
      </w:tblGrid>
      <w:tr>
        <w:trPr/>
        <w:tc>
          <w:tcPr>
            <w:tcW w:w="1406" w:type="dxa"/>
            <w:tcBorders/>
            <w:vAlign w:val="center"/>
          </w:tcPr>
          <w:p>
            <w:pPr>
              <w:pStyle w:val="TableContents"/>
              <w:bidi w:val="0"/>
              <w:jc w:val="start"/>
              <w:rPr/>
            </w:pPr>
            <w:r>
              <w:rPr/>
              <w:t xml:space="preserve">Weeks </w:t>
            </w:r>
          </w:p>
          <w:p>
            <w:pPr>
              <w:pStyle w:val="TableContents"/>
              <w:bidi w:val="0"/>
              <w:spacing w:before="0" w:after="283"/>
              <w:jc w:val="start"/>
              <w:rPr/>
            </w:pPr>
            <w:r>
              <w:rPr/>
              <w:t xml:space="preserve">Groups </w:t>
            </w:r>
          </w:p>
        </w:tc>
        <w:tc>
          <w:tcPr>
            <w:tcW w:w="1064" w:type="dxa"/>
            <w:tcBorders/>
            <w:vAlign w:val="center"/>
          </w:tcPr>
          <w:p>
            <w:pPr>
              <w:pStyle w:val="TableContents"/>
              <w:bidi w:val="0"/>
              <w:jc w:val="start"/>
              <w:rPr/>
            </w:pPr>
            <w:r>
              <w:rPr/>
              <w:t xml:space="preserve">Left Kidney * </w:t>
            </w:r>
          </w:p>
          <w:p>
            <w:pPr>
              <w:pStyle w:val="TableContents"/>
              <w:bidi w:val="0"/>
              <w:spacing w:before="0" w:after="283"/>
              <w:jc w:val="start"/>
              <w:rPr/>
            </w:pPr>
            <w:r>
              <w:rPr/>
              <w:t xml:space="preserve">Per 100g </w:t>
            </w:r>
          </w:p>
        </w:tc>
        <w:tc>
          <w:tcPr>
            <w:tcW w:w="1064" w:type="dxa"/>
            <w:tcBorders/>
            <w:vAlign w:val="center"/>
          </w:tcPr>
          <w:p>
            <w:pPr>
              <w:pStyle w:val="TableContents"/>
              <w:bidi w:val="0"/>
              <w:jc w:val="start"/>
              <w:rPr/>
            </w:pPr>
            <w:r>
              <w:rPr/>
              <w:t xml:space="preserve">Right Kidney * </w:t>
            </w:r>
          </w:p>
          <w:p>
            <w:pPr>
              <w:pStyle w:val="TableContents"/>
              <w:bidi w:val="0"/>
              <w:spacing w:before="0" w:after="283"/>
              <w:jc w:val="start"/>
              <w:rPr/>
            </w:pPr>
            <w:r>
              <w:rPr/>
              <w:t xml:space="preserve">Per 100g) </w:t>
            </w:r>
          </w:p>
        </w:tc>
        <w:tc>
          <w:tcPr>
            <w:tcW w:w="956" w:type="dxa"/>
            <w:tcBorders/>
            <w:vAlign w:val="center"/>
          </w:tcPr>
          <w:p>
            <w:pPr>
              <w:pStyle w:val="TableContents"/>
              <w:bidi w:val="0"/>
              <w:jc w:val="start"/>
              <w:rPr/>
            </w:pPr>
            <w:r>
              <w:rPr/>
              <w:t xml:space="preserve">Liver* </w:t>
            </w:r>
          </w:p>
          <w:p>
            <w:pPr>
              <w:pStyle w:val="TableContents"/>
              <w:bidi w:val="0"/>
              <w:spacing w:before="0" w:after="283"/>
              <w:jc w:val="start"/>
              <w:rPr/>
            </w:pPr>
            <w:r>
              <w:rPr/>
              <w:t xml:space="preserve">Per 100g </w:t>
            </w:r>
          </w:p>
        </w:tc>
      </w:tr>
      <w:tr>
        <w:trPr/>
        <w:tc>
          <w:tcPr>
            <w:tcW w:w="1406" w:type="dxa"/>
            <w:tcBorders/>
            <w:vAlign w:val="center"/>
          </w:tcPr>
          <w:p>
            <w:pPr>
              <w:pStyle w:val="TableContents"/>
              <w:bidi w:val="0"/>
              <w:spacing w:before="0" w:after="283"/>
              <w:jc w:val="start"/>
              <w:rPr/>
            </w:pPr>
            <w:r>
              <w:rPr/>
              <w:t xml:space="preserve">Sham </w:t>
            </w:r>
          </w:p>
        </w:tc>
        <w:tc>
          <w:tcPr>
            <w:tcW w:w="1064" w:type="dxa"/>
            <w:tcBorders/>
            <w:vAlign w:val="center"/>
          </w:tcPr>
          <w:p>
            <w:pPr>
              <w:pStyle w:val="TableContents"/>
              <w:bidi w:val="0"/>
              <w:spacing w:before="0" w:after="283"/>
              <w:jc w:val="start"/>
              <w:rPr/>
            </w:pPr>
            <w:r>
              <w:rPr/>
              <w:t xml:space="preserve">0. 0105 ± 0. 0005 </w:t>
            </w:r>
            <w:r>
              <w:rPr>
                <w:position w:val="8"/>
                <w:sz w:val="19"/>
              </w:rPr>
              <w:t xml:space="preserve">c </w:t>
            </w:r>
          </w:p>
        </w:tc>
        <w:tc>
          <w:tcPr>
            <w:tcW w:w="1064" w:type="dxa"/>
            <w:tcBorders/>
            <w:vAlign w:val="center"/>
          </w:tcPr>
          <w:p>
            <w:pPr>
              <w:pStyle w:val="TableContents"/>
              <w:bidi w:val="0"/>
              <w:spacing w:before="0" w:after="283"/>
              <w:jc w:val="start"/>
              <w:rPr/>
            </w:pPr>
            <w:r>
              <w:rPr/>
              <w:t xml:space="preserve">0. 0106 ± 0. 0004 </w:t>
            </w:r>
            <w:r>
              <w:rPr>
                <w:position w:val="8"/>
                <w:sz w:val="19"/>
              </w:rPr>
              <w:t xml:space="preserve">a </w:t>
            </w:r>
          </w:p>
        </w:tc>
        <w:tc>
          <w:tcPr>
            <w:tcW w:w="956" w:type="dxa"/>
            <w:tcBorders/>
            <w:vAlign w:val="center"/>
          </w:tcPr>
          <w:p>
            <w:pPr>
              <w:pStyle w:val="TableContents"/>
              <w:bidi w:val="0"/>
              <w:spacing w:before="0" w:after="283"/>
              <w:jc w:val="start"/>
              <w:rPr/>
            </w:pPr>
            <w:r>
              <w:rPr/>
              <w:t xml:space="preserve">0. 0811 ± 0. 0037 </w:t>
            </w:r>
            <w:r>
              <w:rPr>
                <w:position w:val="8"/>
                <w:sz w:val="19"/>
              </w:rPr>
              <w:t xml:space="preserve">b </w:t>
            </w:r>
          </w:p>
        </w:tc>
      </w:tr>
      <w:tr>
        <w:trPr/>
        <w:tc>
          <w:tcPr>
            <w:tcW w:w="1406" w:type="dxa"/>
            <w:tcBorders/>
            <w:vAlign w:val="center"/>
          </w:tcPr>
          <w:p>
            <w:pPr>
              <w:pStyle w:val="TableContents"/>
              <w:bidi w:val="0"/>
              <w:spacing w:before="0" w:after="283"/>
              <w:jc w:val="start"/>
              <w:rPr/>
            </w:pPr>
            <w:r>
              <w:rPr/>
              <w:t xml:space="preserve">2K1C </w:t>
            </w:r>
            <w:r>
              <w:rPr>
                <w:position w:val="-2"/>
                <w:sz w:val="19"/>
              </w:rPr>
              <w:t xml:space="preserve">(n) </w:t>
            </w:r>
          </w:p>
        </w:tc>
        <w:tc>
          <w:tcPr>
            <w:tcW w:w="1064" w:type="dxa"/>
            <w:tcBorders/>
            <w:vAlign w:val="center"/>
          </w:tcPr>
          <w:p>
            <w:pPr>
              <w:pStyle w:val="TableContents"/>
              <w:bidi w:val="0"/>
              <w:spacing w:before="0" w:after="283"/>
              <w:jc w:val="start"/>
              <w:rPr/>
            </w:pPr>
            <w:r>
              <w:rPr/>
              <w:t xml:space="preserve">0. 0080 ± 0. 0017 </w:t>
            </w:r>
            <w:r>
              <w:rPr>
                <w:position w:val="8"/>
                <w:sz w:val="19"/>
              </w:rPr>
              <w:t xml:space="preserve">b </w:t>
            </w:r>
          </w:p>
        </w:tc>
        <w:tc>
          <w:tcPr>
            <w:tcW w:w="1064" w:type="dxa"/>
            <w:tcBorders/>
            <w:vAlign w:val="center"/>
          </w:tcPr>
          <w:p>
            <w:pPr>
              <w:pStyle w:val="TableContents"/>
              <w:bidi w:val="0"/>
              <w:spacing w:before="0" w:after="283"/>
              <w:jc w:val="start"/>
              <w:rPr/>
            </w:pPr>
            <w:r>
              <w:rPr/>
              <w:t xml:space="preserve">0. 0120 ± 0. 0012 </w:t>
            </w:r>
            <w:r>
              <w:rPr>
                <w:position w:val="8"/>
                <w:sz w:val="19"/>
              </w:rPr>
              <w:t xml:space="preserve">a </w:t>
            </w:r>
          </w:p>
        </w:tc>
        <w:tc>
          <w:tcPr>
            <w:tcW w:w="956" w:type="dxa"/>
            <w:tcBorders/>
            <w:vAlign w:val="center"/>
          </w:tcPr>
          <w:p>
            <w:pPr>
              <w:pStyle w:val="TableContents"/>
              <w:bidi w:val="0"/>
              <w:spacing w:before="0" w:after="283"/>
              <w:jc w:val="start"/>
              <w:rPr/>
            </w:pPr>
            <w:r>
              <w:rPr/>
              <w:t xml:space="preserve">0. 0768 ± 0. 0050 </w:t>
            </w:r>
            <w:r>
              <w:rPr>
                <w:position w:val="8"/>
                <w:sz w:val="19"/>
              </w:rPr>
              <w:t xml:space="preserve">b </w:t>
            </w:r>
          </w:p>
        </w:tc>
      </w:tr>
      <w:tr>
        <w:trPr/>
        <w:tc>
          <w:tcPr>
            <w:tcW w:w="1406" w:type="dxa"/>
            <w:tcBorders/>
            <w:vAlign w:val="center"/>
          </w:tcPr>
          <w:p>
            <w:pPr>
              <w:pStyle w:val="TableContents"/>
              <w:bidi w:val="0"/>
              <w:spacing w:before="0" w:after="283"/>
              <w:jc w:val="start"/>
              <w:rPr/>
            </w:pPr>
            <w:r>
              <w:rPr/>
              <w:t xml:space="preserve">2K1C </w:t>
            </w:r>
            <w:r>
              <w:rPr>
                <w:position w:val="-2"/>
                <w:sz w:val="19"/>
              </w:rPr>
              <w:t xml:space="preserve">(h) </w:t>
            </w:r>
          </w:p>
        </w:tc>
        <w:tc>
          <w:tcPr>
            <w:tcW w:w="1064" w:type="dxa"/>
            <w:tcBorders/>
            <w:vAlign w:val="center"/>
          </w:tcPr>
          <w:p>
            <w:pPr>
              <w:pStyle w:val="TableContents"/>
              <w:bidi w:val="0"/>
              <w:spacing w:before="0" w:after="283"/>
              <w:jc w:val="start"/>
              <w:rPr/>
            </w:pPr>
            <w:r>
              <w:rPr/>
              <w:t xml:space="preserve">0. 0025 ± 0. 0004 </w:t>
            </w:r>
            <w:r>
              <w:rPr>
                <w:position w:val="8"/>
                <w:sz w:val="19"/>
              </w:rPr>
              <w:t xml:space="preserve">a </w:t>
            </w:r>
          </w:p>
        </w:tc>
        <w:tc>
          <w:tcPr>
            <w:tcW w:w="1064" w:type="dxa"/>
            <w:tcBorders/>
            <w:vAlign w:val="center"/>
          </w:tcPr>
          <w:p>
            <w:pPr>
              <w:pStyle w:val="TableContents"/>
              <w:bidi w:val="0"/>
              <w:spacing w:before="0" w:after="283"/>
              <w:jc w:val="start"/>
              <w:rPr/>
            </w:pPr>
            <w:r>
              <w:rPr/>
              <w:t xml:space="preserve">0. 0148 ± 0. 0008 </w:t>
            </w:r>
            <w:r>
              <w:rPr>
                <w:position w:val="8"/>
                <w:sz w:val="19"/>
              </w:rPr>
              <w:t xml:space="preserve">b </w:t>
            </w:r>
          </w:p>
        </w:tc>
        <w:tc>
          <w:tcPr>
            <w:tcW w:w="956" w:type="dxa"/>
            <w:tcBorders/>
            <w:vAlign w:val="center"/>
          </w:tcPr>
          <w:p>
            <w:pPr>
              <w:pStyle w:val="TableContents"/>
              <w:bidi w:val="0"/>
              <w:spacing w:before="0" w:after="283"/>
              <w:jc w:val="start"/>
              <w:rPr/>
            </w:pPr>
            <w:r>
              <w:rPr/>
              <w:t xml:space="preserve">0. 0756 ± 0. 0027 </w:t>
            </w:r>
            <w:r>
              <w:rPr>
                <w:position w:val="8"/>
                <w:sz w:val="19"/>
              </w:rPr>
              <w:t xml:space="preserve">b </w:t>
            </w:r>
          </w:p>
        </w:tc>
      </w:tr>
      <w:tr>
        <w:trPr/>
        <w:tc>
          <w:tcPr>
            <w:tcW w:w="1406" w:type="dxa"/>
            <w:tcBorders/>
            <w:vAlign w:val="center"/>
          </w:tcPr>
          <w:p>
            <w:pPr>
              <w:pStyle w:val="TableContents"/>
              <w:bidi w:val="0"/>
              <w:spacing w:before="0" w:after="283"/>
              <w:jc w:val="start"/>
              <w:rPr/>
            </w:pPr>
            <w:r>
              <w:rPr/>
              <w:t xml:space="preserve">2K1C </w:t>
            </w:r>
            <w:r>
              <w:rPr>
                <w:position w:val="-2"/>
                <w:sz w:val="19"/>
              </w:rPr>
              <w:t xml:space="preserve">(h) </w:t>
            </w:r>
            <w:r>
              <w:rPr/>
              <w:t xml:space="preserve">+ Bosentan </w:t>
            </w:r>
          </w:p>
        </w:tc>
        <w:tc>
          <w:tcPr>
            <w:tcW w:w="1064" w:type="dxa"/>
            <w:tcBorders/>
            <w:vAlign w:val="center"/>
          </w:tcPr>
          <w:p>
            <w:pPr>
              <w:pStyle w:val="TableContents"/>
              <w:bidi w:val="0"/>
              <w:spacing w:before="0" w:after="283"/>
              <w:jc w:val="start"/>
              <w:rPr/>
            </w:pPr>
            <w:r>
              <w:rPr/>
              <w:t xml:space="preserve">0. 0021 ± 0. 0001 </w:t>
            </w:r>
            <w:r>
              <w:rPr>
                <w:position w:val="8"/>
                <w:sz w:val="19"/>
              </w:rPr>
              <w:t xml:space="preserve">a </w:t>
            </w:r>
          </w:p>
        </w:tc>
        <w:tc>
          <w:tcPr>
            <w:tcW w:w="1064" w:type="dxa"/>
            <w:tcBorders/>
            <w:vAlign w:val="center"/>
          </w:tcPr>
          <w:p>
            <w:pPr>
              <w:pStyle w:val="TableContents"/>
              <w:bidi w:val="0"/>
              <w:spacing w:before="0" w:after="283"/>
              <w:jc w:val="start"/>
              <w:rPr/>
            </w:pPr>
            <w:r>
              <w:rPr/>
              <w:t xml:space="preserve">0. 0115 ± 0. 0007 </w:t>
            </w:r>
            <w:r>
              <w:rPr>
                <w:position w:val="8"/>
                <w:sz w:val="19"/>
              </w:rPr>
              <w:t xml:space="preserve">a </w:t>
            </w:r>
          </w:p>
        </w:tc>
        <w:tc>
          <w:tcPr>
            <w:tcW w:w="956" w:type="dxa"/>
            <w:tcBorders/>
            <w:vAlign w:val="center"/>
          </w:tcPr>
          <w:p>
            <w:pPr>
              <w:pStyle w:val="TableContents"/>
              <w:bidi w:val="0"/>
              <w:spacing w:before="0" w:after="283"/>
              <w:jc w:val="start"/>
              <w:rPr/>
            </w:pPr>
            <w:r>
              <w:rPr/>
              <w:t xml:space="preserve">0. 0553 ± 0. 0035 </w:t>
            </w:r>
            <w:r>
              <w:rPr>
                <w:position w:val="8"/>
                <w:sz w:val="19"/>
              </w:rPr>
              <w:t xml:space="preserve">a </w:t>
            </w:r>
          </w:p>
        </w:tc>
      </w:tr>
      <w:tr>
        <w:trPr/>
        <w:tc>
          <w:tcPr>
            <w:tcW w:w="1406" w:type="dxa"/>
            <w:tcBorders/>
            <w:vAlign w:val="center"/>
          </w:tcPr>
          <w:p>
            <w:pPr>
              <w:pStyle w:val="TableContents"/>
              <w:bidi w:val="0"/>
              <w:spacing w:before="0" w:after="283"/>
              <w:jc w:val="start"/>
              <w:rPr/>
            </w:pPr>
            <w:r>
              <w:rPr/>
              <w:t xml:space="preserve">2K1C </w:t>
            </w:r>
            <w:r>
              <w:rPr>
                <w:position w:val="-2"/>
                <w:sz w:val="19"/>
              </w:rPr>
              <w:t xml:space="preserve">(h) </w:t>
            </w:r>
            <w:r>
              <w:rPr/>
              <w:t xml:space="preserve">+ Losartan </w:t>
            </w:r>
          </w:p>
        </w:tc>
        <w:tc>
          <w:tcPr>
            <w:tcW w:w="1064" w:type="dxa"/>
            <w:tcBorders/>
            <w:vAlign w:val="center"/>
          </w:tcPr>
          <w:p>
            <w:pPr>
              <w:pStyle w:val="TableContents"/>
              <w:bidi w:val="0"/>
              <w:spacing w:before="0" w:after="283"/>
              <w:jc w:val="start"/>
              <w:rPr/>
            </w:pPr>
            <w:r>
              <w:rPr/>
              <w:t xml:space="preserve">0. 0020 ± 0. 0003 </w:t>
            </w:r>
            <w:r>
              <w:rPr>
                <w:position w:val="8"/>
                <w:sz w:val="19"/>
              </w:rPr>
              <w:t xml:space="preserve">a </w:t>
            </w:r>
          </w:p>
        </w:tc>
        <w:tc>
          <w:tcPr>
            <w:tcW w:w="1064" w:type="dxa"/>
            <w:tcBorders/>
            <w:vAlign w:val="center"/>
          </w:tcPr>
          <w:p>
            <w:pPr>
              <w:pStyle w:val="TableContents"/>
              <w:bidi w:val="0"/>
              <w:spacing w:before="0" w:after="283"/>
              <w:jc w:val="start"/>
              <w:rPr/>
            </w:pPr>
            <w:r>
              <w:rPr/>
              <w:t xml:space="preserve">0. 0124 ± 0. 0008 </w:t>
            </w:r>
            <w:r>
              <w:rPr>
                <w:position w:val="8"/>
                <w:sz w:val="19"/>
              </w:rPr>
              <w:t xml:space="preserve">a </w:t>
            </w:r>
          </w:p>
        </w:tc>
        <w:tc>
          <w:tcPr>
            <w:tcW w:w="956" w:type="dxa"/>
            <w:tcBorders/>
            <w:vAlign w:val="center"/>
          </w:tcPr>
          <w:p>
            <w:pPr>
              <w:pStyle w:val="TableContents"/>
              <w:bidi w:val="0"/>
              <w:spacing w:before="0" w:after="283"/>
              <w:jc w:val="start"/>
              <w:rPr/>
            </w:pPr>
            <w:r>
              <w:rPr/>
              <w:t xml:space="preserve">0. 0578 ± 0. 0078 </w:t>
            </w:r>
            <w:r>
              <w:rPr>
                <w:position w:val="8"/>
                <w:sz w:val="19"/>
              </w:rPr>
              <w:t xml:space="preserve">a </w:t>
            </w:r>
          </w:p>
        </w:tc>
      </w:tr>
    </w:tbl>
    <w:p>
      <w:pPr>
        <w:pStyle w:val="TextBody"/>
        <w:bidi w:val="0"/>
        <w:spacing w:before="0" w:after="283"/>
        <w:jc w:val="start"/>
        <w:rPr/>
      </w:pPr>
      <w:r>
        <w:rPr/>
        <w:t xml:space="preserve">Water intake in losartan administration rats significantly (P &lt;0. 05) decreased (10. 36 ± 2. 553) in week three but in other weeks not significantly changed. Also, bosentan administration caused a significant decrease in water intake in weeks four and six (7. 377 ± 0. 8090 and 5. 473 ± 1. 066) respectively. The water intake in normotensive rats changed but not significantly. On the other hand, water intake in the 2K1C normotensive rats significantly increased in week four after surgery compared with sham (Table 4. 10). </w:t>
      </w:r>
    </w:p>
    <w:p>
      <w:pPr>
        <w:pStyle w:val="TextBody"/>
        <w:bidi w:val="0"/>
        <w:spacing w:before="0" w:after="283"/>
        <w:jc w:val="start"/>
        <w:rPr/>
      </w:pPr>
      <w:r>
        <w:rPr/>
        <w:t xml:space="preserve">Food intake was measured every weeks, it has been started from week three post surgery. Table 4. 11 shows that in 2K1C </w:t>
      </w:r>
      <w:r>
        <w:rPr>
          <w:position w:val="-2"/>
          <w:sz w:val="19"/>
        </w:rPr>
        <w:t xml:space="preserve">(n) </w:t>
      </w:r>
      <w:r>
        <w:rPr/>
        <w:t xml:space="preserve">group there was a significant increase in food intake at week three but there were no significant differences in weeks four, five and six. Food intake at week four after surgery tended to decrease significantly in 2K1C </w:t>
      </w:r>
      <w:r>
        <w:rPr>
          <w:position w:val="-2"/>
          <w:sz w:val="19"/>
        </w:rPr>
        <w:t xml:space="preserve">(h) </w:t>
      </w:r>
      <w:r>
        <w:rPr/>
        <w:t xml:space="preserve">rats treated with losartan and bosentan administration. </w:t>
      </w:r>
    </w:p>
    <w:p>
      <w:pPr>
        <w:pStyle w:val="TextBody"/>
        <w:bidi w:val="0"/>
        <w:spacing w:before="0" w:after="283"/>
        <w:jc w:val="start"/>
        <w:rPr/>
      </w:pPr>
      <w:r>
        <w:rPr/>
        <w:t xml:space="preserve">Collection of urine flow performed once weekly from week three to week six after surgery, the results are shown in the table 4. 12. It was illustrated that there was slight reduction of urine flow in 2K1C as compared with sham group especially in five and six weeks after surgery. Also, bosentan caused a slight non significant decrease in urine flow in the last two urine sample collections. </w:t>
      </w:r>
    </w:p>
    <w:p>
      <w:pPr>
        <w:pStyle w:val="TextBody"/>
        <w:bidi w:val="0"/>
        <w:spacing w:before="0" w:after="283"/>
        <w:jc w:val="start"/>
        <w:rPr/>
      </w:pPr>
      <w:r>
        <w:rPr/>
        <w:t xml:space="preserve">Table 4. 10: Effects of bosentan and losartan on water intake (ml/100g b. w) from third week to sixth week after surgery in 2K1C hypertensive rats. </w:t>
      </w:r>
    </w:p>
    <w:tbl>
      <w:tblPr>
        <w:tblW w:w="4490" w:type="dxa"/>
        <w:jc w:val="start"/>
        <w:tblInd w:w="0" w:type="dxa"/>
        <w:tblLayout w:type="fixed"/>
        <w:tblCellMar>
          <w:top w:w="28" w:type="dxa"/>
          <w:start w:w="28" w:type="dxa"/>
          <w:bottom w:w="28" w:type="dxa"/>
          <w:end w:w="28" w:type="dxa"/>
        </w:tblCellMar>
      </w:tblPr>
      <w:tblGrid>
        <w:gridCol w:w="1201"/>
        <w:gridCol w:w="811"/>
        <w:gridCol w:w="811"/>
        <w:gridCol w:w="811"/>
        <w:gridCol w:w="856"/>
      </w:tblGrid>
      <w:tr>
        <w:trPr/>
        <w:tc>
          <w:tcPr>
            <w:tcW w:w="1201" w:type="dxa"/>
            <w:tcBorders/>
            <w:vAlign w:val="center"/>
          </w:tcPr>
          <w:p>
            <w:pPr>
              <w:pStyle w:val="TableContents"/>
              <w:bidi w:val="0"/>
              <w:jc w:val="start"/>
              <w:rPr/>
            </w:pPr>
            <w:r>
              <w:rPr/>
              <w:t xml:space="preserve">Weeks </w:t>
            </w:r>
          </w:p>
          <w:p>
            <w:pPr>
              <w:pStyle w:val="TableContents"/>
              <w:bidi w:val="0"/>
              <w:spacing w:before="0" w:after="283"/>
              <w:jc w:val="start"/>
              <w:rPr/>
            </w:pPr>
            <w:r>
              <w:rPr/>
              <w:t xml:space="preserve">Groups </w:t>
            </w:r>
          </w:p>
        </w:tc>
        <w:tc>
          <w:tcPr>
            <w:tcW w:w="811" w:type="dxa"/>
            <w:tcBorders/>
            <w:vAlign w:val="center"/>
          </w:tcPr>
          <w:p>
            <w:pPr>
              <w:pStyle w:val="TableContents"/>
              <w:bidi w:val="0"/>
              <w:jc w:val="start"/>
              <w:rPr/>
            </w:pPr>
            <w:r>
              <w:rPr/>
              <w:t xml:space="preserve">Three weeks* </w:t>
            </w:r>
          </w:p>
          <w:p>
            <w:pPr>
              <w:pStyle w:val="TableContents"/>
              <w:bidi w:val="0"/>
              <w:spacing w:before="0" w:after="283"/>
              <w:jc w:val="start"/>
              <w:rPr/>
            </w:pPr>
            <w:r>
              <w:rPr/>
              <w:t xml:space="preserve">after surgery </w:t>
            </w:r>
          </w:p>
        </w:tc>
        <w:tc>
          <w:tcPr>
            <w:tcW w:w="811" w:type="dxa"/>
            <w:tcBorders/>
            <w:vAlign w:val="center"/>
          </w:tcPr>
          <w:p>
            <w:pPr>
              <w:pStyle w:val="TableContents"/>
              <w:bidi w:val="0"/>
              <w:jc w:val="start"/>
              <w:rPr/>
            </w:pPr>
            <w:r>
              <w:rPr/>
              <w:t xml:space="preserve">Four weeks* </w:t>
            </w:r>
          </w:p>
          <w:p>
            <w:pPr>
              <w:pStyle w:val="TableContents"/>
              <w:bidi w:val="0"/>
              <w:spacing w:before="0" w:after="283"/>
              <w:jc w:val="start"/>
              <w:rPr/>
            </w:pPr>
            <w:r>
              <w:rPr/>
              <w:t xml:space="preserve">after surgery </w:t>
            </w:r>
          </w:p>
        </w:tc>
        <w:tc>
          <w:tcPr>
            <w:tcW w:w="811" w:type="dxa"/>
            <w:tcBorders/>
            <w:vAlign w:val="center"/>
          </w:tcPr>
          <w:p>
            <w:pPr>
              <w:pStyle w:val="TableContents"/>
              <w:bidi w:val="0"/>
              <w:jc w:val="start"/>
              <w:rPr/>
            </w:pPr>
            <w:r>
              <w:rPr/>
              <w:t xml:space="preserve">Five weeks* </w:t>
            </w:r>
          </w:p>
          <w:p>
            <w:pPr>
              <w:pStyle w:val="TableContents"/>
              <w:bidi w:val="0"/>
              <w:spacing w:before="0" w:after="283"/>
              <w:jc w:val="start"/>
              <w:rPr/>
            </w:pPr>
            <w:r>
              <w:rPr/>
              <w:t xml:space="preserve">after surgery </w:t>
            </w:r>
          </w:p>
        </w:tc>
        <w:tc>
          <w:tcPr>
            <w:tcW w:w="856" w:type="dxa"/>
            <w:tcBorders/>
            <w:vAlign w:val="center"/>
          </w:tcPr>
          <w:p>
            <w:pPr>
              <w:pStyle w:val="TableContents"/>
              <w:bidi w:val="0"/>
              <w:jc w:val="start"/>
              <w:rPr/>
            </w:pPr>
            <w:r>
              <w:rPr/>
              <w:t xml:space="preserve">Six Week* </w:t>
            </w:r>
          </w:p>
          <w:p>
            <w:pPr>
              <w:pStyle w:val="TableContents"/>
              <w:bidi w:val="0"/>
              <w:spacing w:before="0" w:after="283"/>
              <w:jc w:val="start"/>
              <w:rPr/>
            </w:pPr>
            <w:r>
              <w:rPr/>
              <w:t xml:space="preserve">after surgery </w:t>
            </w:r>
          </w:p>
        </w:tc>
      </w:tr>
      <w:tr>
        <w:trPr/>
        <w:tc>
          <w:tcPr>
            <w:tcW w:w="1201" w:type="dxa"/>
            <w:tcBorders/>
            <w:vAlign w:val="center"/>
          </w:tcPr>
          <w:p>
            <w:pPr>
              <w:pStyle w:val="TableContents"/>
              <w:bidi w:val="0"/>
              <w:spacing w:before="0" w:after="283"/>
              <w:jc w:val="start"/>
              <w:rPr/>
            </w:pPr>
            <w:r>
              <w:rPr/>
              <w:t xml:space="preserve">Sham </w:t>
            </w:r>
          </w:p>
        </w:tc>
        <w:tc>
          <w:tcPr>
            <w:tcW w:w="811" w:type="dxa"/>
            <w:tcBorders/>
            <w:vAlign w:val="center"/>
          </w:tcPr>
          <w:p>
            <w:pPr>
              <w:pStyle w:val="TableContents"/>
              <w:bidi w:val="0"/>
              <w:spacing w:before="0" w:after="283"/>
              <w:jc w:val="start"/>
              <w:rPr/>
            </w:pPr>
            <w:r>
              <w:rPr/>
              <w:t xml:space="preserve">15. 06 ±3. 305 </w:t>
            </w:r>
            <w:r>
              <w:rPr>
                <w:position w:val="8"/>
                <w:sz w:val="19"/>
              </w:rPr>
              <w:t xml:space="preserve">ab </w:t>
            </w:r>
          </w:p>
        </w:tc>
        <w:tc>
          <w:tcPr>
            <w:tcW w:w="811" w:type="dxa"/>
            <w:tcBorders/>
            <w:vAlign w:val="center"/>
          </w:tcPr>
          <w:p>
            <w:pPr>
              <w:pStyle w:val="TableContents"/>
              <w:bidi w:val="0"/>
              <w:spacing w:before="0" w:after="283"/>
              <w:jc w:val="start"/>
              <w:rPr/>
            </w:pPr>
            <w:r>
              <w:rPr/>
              <w:t xml:space="preserve">9. 327 ±2. 778 </w:t>
            </w:r>
            <w:r>
              <w:rPr>
                <w:position w:val="8"/>
                <w:sz w:val="19"/>
              </w:rPr>
              <w:t xml:space="preserve">ab </w:t>
            </w:r>
          </w:p>
        </w:tc>
        <w:tc>
          <w:tcPr>
            <w:tcW w:w="811" w:type="dxa"/>
            <w:tcBorders/>
            <w:vAlign w:val="center"/>
          </w:tcPr>
          <w:p>
            <w:pPr>
              <w:pStyle w:val="TableContents"/>
              <w:bidi w:val="0"/>
              <w:spacing w:before="0" w:after="283"/>
              <w:jc w:val="start"/>
              <w:rPr/>
            </w:pPr>
            <w:r>
              <w:rPr/>
              <w:t xml:space="preserve">14. 11 ±0. 9777 </w:t>
            </w:r>
            <w:r>
              <w:rPr>
                <w:position w:val="8"/>
                <w:sz w:val="19"/>
              </w:rPr>
              <w:t xml:space="preserve">b </w:t>
            </w:r>
          </w:p>
        </w:tc>
        <w:tc>
          <w:tcPr>
            <w:tcW w:w="856" w:type="dxa"/>
            <w:tcBorders/>
            <w:vAlign w:val="center"/>
          </w:tcPr>
          <w:p>
            <w:pPr>
              <w:pStyle w:val="TableContents"/>
              <w:bidi w:val="0"/>
              <w:spacing w:before="0" w:after="283"/>
              <w:jc w:val="start"/>
              <w:rPr/>
            </w:pPr>
            <w:r>
              <w:rPr/>
              <w:t xml:space="preserve">8. 198 ±0. 738 </w:t>
            </w:r>
            <w:r>
              <w:rPr>
                <w:position w:val="8"/>
                <w:sz w:val="19"/>
              </w:rPr>
              <w:t xml:space="preserve">ab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(n) </w:t>
            </w:r>
          </w:p>
        </w:tc>
        <w:tc>
          <w:tcPr>
            <w:tcW w:w="811" w:type="dxa"/>
            <w:tcBorders/>
            <w:vAlign w:val="center"/>
          </w:tcPr>
          <w:p>
            <w:pPr>
              <w:pStyle w:val="TableContents"/>
              <w:bidi w:val="0"/>
              <w:spacing w:before="0" w:after="283"/>
              <w:jc w:val="start"/>
              <w:rPr/>
            </w:pPr>
            <w:r>
              <w:rPr/>
              <w:t xml:space="preserve">16. 37 ±2. 325 </w:t>
            </w:r>
            <w:r>
              <w:rPr>
                <w:position w:val="8"/>
                <w:sz w:val="19"/>
              </w:rPr>
              <w:t xml:space="preserve">ab </w:t>
            </w:r>
          </w:p>
        </w:tc>
        <w:tc>
          <w:tcPr>
            <w:tcW w:w="811" w:type="dxa"/>
            <w:tcBorders/>
            <w:vAlign w:val="center"/>
          </w:tcPr>
          <w:p>
            <w:pPr>
              <w:pStyle w:val="TableContents"/>
              <w:bidi w:val="0"/>
              <w:spacing w:before="0" w:after="283"/>
              <w:jc w:val="start"/>
              <w:rPr/>
            </w:pPr>
            <w:r>
              <w:rPr/>
              <w:t xml:space="preserve">14. 46 ±1. 151 </w:t>
            </w:r>
            <w:r>
              <w:rPr>
                <w:position w:val="8"/>
                <w:sz w:val="19"/>
              </w:rPr>
              <w:t xml:space="preserve">c </w:t>
            </w:r>
          </w:p>
        </w:tc>
        <w:tc>
          <w:tcPr>
            <w:tcW w:w="811" w:type="dxa"/>
            <w:tcBorders/>
            <w:vAlign w:val="center"/>
          </w:tcPr>
          <w:p>
            <w:pPr>
              <w:pStyle w:val="TableContents"/>
              <w:bidi w:val="0"/>
              <w:spacing w:before="0" w:after="283"/>
              <w:jc w:val="start"/>
              <w:rPr/>
            </w:pPr>
            <w:r>
              <w:rPr/>
              <w:t xml:space="preserve">11. 82 ±1. 044 </w:t>
            </w:r>
            <w:r>
              <w:rPr>
                <w:position w:val="8"/>
                <w:sz w:val="19"/>
              </w:rPr>
              <w:t xml:space="preserve">ab </w:t>
            </w:r>
          </w:p>
        </w:tc>
        <w:tc>
          <w:tcPr>
            <w:tcW w:w="856" w:type="dxa"/>
            <w:tcBorders/>
            <w:vAlign w:val="center"/>
          </w:tcPr>
          <w:p>
            <w:pPr>
              <w:pStyle w:val="TableContents"/>
              <w:bidi w:val="0"/>
              <w:spacing w:before="0" w:after="283"/>
              <w:jc w:val="start"/>
              <w:rPr/>
            </w:pPr>
            <w:r>
              <w:rPr/>
              <w:t xml:space="preserve">11. 17 ±2. 057 </w:t>
            </w:r>
            <w:r>
              <w:rPr>
                <w:position w:val="8"/>
                <w:sz w:val="19"/>
              </w:rPr>
              <w:t xml:space="preserve">b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p>
        </w:tc>
        <w:tc>
          <w:tcPr>
            <w:tcW w:w="811" w:type="dxa"/>
            <w:tcBorders/>
            <w:vAlign w:val="center"/>
          </w:tcPr>
          <w:p>
            <w:pPr>
              <w:pStyle w:val="TableContents"/>
              <w:bidi w:val="0"/>
              <w:spacing w:before="0" w:after="283"/>
              <w:jc w:val="start"/>
              <w:rPr/>
            </w:pPr>
            <w:r>
              <w:rPr/>
              <w:t xml:space="preserve">20. 62 ±3. 177 </w:t>
            </w:r>
            <w:r>
              <w:rPr>
                <w:position w:val="8"/>
                <w:sz w:val="19"/>
              </w:rPr>
              <w:t xml:space="preserve">b </w:t>
            </w:r>
          </w:p>
        </w:tc>
        <w:tc>
          <w:tcPr>
            <w:tcW w:w="811" w:type="dxa"/>
            <w:tcBorders/>
            <w:vAlign w:val="center"/>
          </w:tcPr>
          <w:p>
            <w:pPr>
              <w:pStyle w:val="TableContents"/>
              <w:bidi w:val="0"/>
              <w:spacing w:before="0" w:after="283"/>
              <w:jc w:val="start"/>
              <w:rPr/>
            </w:pPr>
            <w:r>
              <w:rPr/>
              <w:t xml:space="preserve">12. 51 ±1. 093 </w:t>
            </w:r>
            <w:r>
              <w:rPr>
                <w:position w:val="8"/>
                <w:sz w:val="19"/>
              </w:rPr>
              <w:t xml:space="preserve">bc </w:t>
            </w:r>
          </w:p>
        </w:tc>
        <w:tc>
          <w:tcPr>
            <w:tcW w:w="811" w:type="dxa"/>
            <w:tcBorders/>
            <w:vAlign w:val="center"/>
          </w:tcPr>
          <w:p>
            <w:pPr>
              <w:pStyle w:val="TableContents"/>
              <w:bidi w:val="0"/>
              <w:spacing w:before="0" w:after="283"/>
              <w:jc w:val="start"/>
              <w:rPr/>
            </w:pPr>
            <w:r>
              <w:rPr/>
              <w:t xml:space="preserve">10. 21 ±1. 324 </w:t>
            </w:r>
            <w:r>
              <w:rPr>
                <w:position w:val="8"/>
                <w:sz w:val="19"/>
              </w:rPr>
              <w:t xml:space="preserve">ab </w:t>
            </w:r>
          </w:p>
        </w:tc>
        <w:tc>
          <w:tcPr>
            <w:tcW w:w="856" w:type="dxa"/>
            <w:tcBorders/>
            <w:vAlign w:val="center"/>
          </w:tcPr>
          <w:p>
            <w:pPr>
              <w:pStyle w:val="TableContents"/>
              <w:bidi w:val="0"/>
              <w:spacing w:before="0" w:after="283"/>
              <w:jc w:val="start"/>
              <w:rPr/>
            </w:pPr>
            <w:r>
              <w:rPr/>
              <w:t xml:space="preserve">13. 59 ±1. 541 </w:t>
            </w:r>
            <w:r>
              <w:rPr>
                <w:position w:val="8"/>
                <w:sz w:val="19"/>
              </w:rPr>
              <w:t xml:space="preserve">b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r>
              <w:rPr/>
              <w:t xml:space="preserve">+ Bosentan </w:t>
            </w:r>
          </w:p>
        </w:tc>
        <w:tc>
          <w:tcPr>
            <w:tcW w:w="811" w:type="dxa"/>
            <w:tcBorders/>
            <w:vAlign w:val="center"/>
          </w:tcPr>
          <w:p>
            <w:pPr>
              <w:pStyle w:val="TableContents"/>
              <w:bidi w:val="0"/>
              <w:spacing w:before="0" w:after="283"/>
              <w:jc w:val="start"/>
              <w:rPr/>
            </w:pPr>
            <w:r>
              <w:rPr/>
              <w:t xml:space="preserve">12. 87 ±0. 803 </w:t>
            </w:r>
            <w:r>
              <w:rPr>
                <w:position w:val="8"/>
                <w:sz w:val="19"/>
              </w:rPr>
              <w:t xml:space="preserve">ab </w:t>
            </w:r>
          </w:p>
        </w:tc>
        <w:tc>
          <w:tcPr>
            <w:tcW w:w="811" w:type="dxa"/>
            <w:tcBorders/>
            <w:vAlign w:val="center"/>
          </w:tcPr>
          <w:p>
            <w:pPr>
              <w:pStyle w:val="TableContents"/>
              <w:bidi w:val="0"/>
              <w:spacing w:before="0" w:after="283"/>
              <w:jc w:val="start"/>
              <w:rPr/>
            </w:pPr>
            <w:r>
              <w:rPr/>
              <w:t xml:space="preserve">7. 377 ±0. 8090 </w:t>
            </w:r>
            <w:r>
              <w:rPr>
                <w:position w:val="8"/>
                <w:sz w:val="19"/>
              </w:rPr>
              <w:t xml:space="preserve">a </w:t>
            </w:r>
          </w:p>
        </w:tc>
        <w:tc>
          <w:tcPr>
            <w:tcW w:w="811" w:type="dxa"/>
            <w:tcBorders/>
            <w:vAlign w:val="center"/>
          </w:tcPr>
          <w:p>
            <w:pPr>
              <w:pStyle w:val="TableContents"/>
              <w:bidi w:val="0"/>
              <w:spacing w:before="0" w:after="283"/>
              <w:jc w:val="start"/>
              <w:rPr/>
            </w:pPr>
            <w:r>
              <w:rPr/>
              <w:t xml:space="preserve">6. 925 ±0. 8343 </w:t>
            </w:r>
            <w:r>
              <w:rPr>
                <w:position w:val="8"/>
                <w:sz w:val="19"/>
              </w:rPr>
              <w:t xml:space="preserve">a </w:t>
            </w:r>
          </w:p>
        </w:tc>
        <w:tc>
          <w:tcPr>
            <w:tcW w:w="856" w:type="dxa"/>
            <w:tcBorders/>
            <w:vAlign w:val="center"/>
          </w:tcPr>
          <w:p>
            <w:pPr>
              <w:pStyle w:val="TableContents"/>
              <w:bidi w:val="0"/>
              <w:spacing w:before="0" w:after="283"/>
              <w:jc w:val="start"/>
              <w:rPr/>
            </w:pPr>
            <w:r>
              <w:rPr/>
              <w:t xml:space="preserve">5. 473 ±1. 066 </w:t>
            </w:r>
            <w:r>
              <w:rPr>
                <w:position w:val="8"/>
                <w:sz w:val="19"/>
              </w:rPr>
              <w:t xml:space="preserve">a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r>
              <w:rPr/>
              <w:t xml:space="preserve">+ Losartan </w:t>
            </w:r>
          </w:p>
        </w:tc>
        <w:tc>
          <w:tcPr>
            <w:tcW w:w="811" w:type="dxa"/>
            <w:tcBorders/>
            <w:vAlign w:val="center"/>
          </w:tcPr>
          <w:p>
            <w:pPr>
              <w:pStyle w:val="TableContents"/>
              <w:bidi w:val="0"/>
              <w:spacing w:before="0" w:after="283"/>
              <w:jc w:val="start"/>
              <w:rPr/>
            </w:pPr>
            <w:r>
              <w:rPr/>
              <w:t xml:space="preserve">10. 36 ±2. 553 </w:t>
            </w:r>
            <w:r>
              <w:rPr>
                <w:position w:val="8"/>
                <w:sz w:val="19"/>
              </w:rPr>
              <w:t xml:space="preserve">a </w:t>
            </w:r>
          </w:p>
        </w:tc>
        <w:tc>
          <w:tcPr>
            <w:tcW w:w="811" w:type="dxa"/>
            <w:tcBorders/>
            <w:vAlign w:val="center"/>
          </w:tcPr>
          <w:p>
            <w:pPr>
              <w:pStyle w:val="TableContents"/>
              <w:bidi w:val="0"/>
              <w:spacing w:before="0" w:after="283"/>
              <w:jc w:val="start"/>
              <w:rPr/>
            </w:pPr>
            <w:r>
              <w:rPr/>
              <w:t xml:space="preserve">13. 58 ±2. 664 </w:t>
            </w:r>
            <w:r>
              <w:rPr>
                <w:position w:val="8"/>
                <w:sz w:val="19"/>
              </w:rPr>
              <w:t xml:space="preserve">bc </w:t>
            </w:r>
          </w:p>
        </w:tc>
        <w:tc>
          <w:tcPr>
            <w:tcW w:w="811" w:type="dxa"/>
            <w:tcBorders/>
            <w:vAlign w:val="center"/>
          </w:tcPr>
          <w:p>
            <w:pPr>
              <w:pStyle w:val="TableContents"/>
              <w:bidi w:val="0"/>
              <w:spacing w:before="0" w:after="283"/>
              <w:jc w:val="start"/>
              <w:rPr/>
            </w:pPr>
            <w:r>
              <w:rPr/>
              <w:t xml:space="preserve">11. 87 ±3. 592 </w:t>
            </w:r>
            <w:r>
              <w:rPr>
                <w:position w:val="8"/>
                <w:sz w:val="19"/>
              </w:rPr>
              <w:t xml:space="preserve">ab </w:t>
            </w:r>
          </w:p>
        </w:tc>
        <w:tc>
          <w:tcPr>
            <w:tcW w:w="856" w:type="dxa"/>
            <w:tcBorders/>
            <w:vAlign w:val="center"/>
          </w:tcPr>
          <w:p>
            <w:pPr>
              <w:pStyle w:val="TableContents"/>
              <w:bidi w:val="0"/>
              <w:spacing w:before="0" w:after="283"/>
              <w:jc w:val="start"/>
              <w:rPr/>
            </w:pPr>
            <w:r>
              <w:rPr/>
              <w:t xml:space="preserve">12. 44 ±3. 033 </w:t>
            </w:r>
            <w:r>
              <w:rPr>
                <w:position w:val="8"/>
                <w:sz w:val="19"/>
              </w:rPr>
              <w:t xml:space="preserve">b </w:t>
            </w:r>
          </w:p>
        </w:tc>
      </w:tr>
    </w:tbl>
    <w:p>
      <w:pPr>
        <w:pStyle w:val="TextBody"/>
        <w:bidi w:val="0"/>
        <w:spacing w:before="0" w:after="283"/>
        <w:jc w:val="start"/>
        <w:rPr/>
      </w:pPr>
      <w:r>
        <w:rPr/>
        <w:t xml:space="preserve">Table 4. 11: Effects of bosentan and losartan on food intake (g/100g b. w) from third week to sixth week after surgery in 2K1C hypertensive rats. </w:t>
      </w:r>
    </w:p>
    <w:tbl>
      <w:tblPr>
        <w:tblW w:w="4490" w:type="dxa"/>
        <w:jc w:val="start"/>
        <w:tblInd w:w="0" w:type="dxa"/>
        <w:tblLayout w:type="fixed"/>
        <w:tblCellMar>
          <w:top w:w="28" w:type="dxa"/>
          <w:start w:w="28" w:type="dxa"/>
          <w:bottom w:w="28" w:type="dxa"/>
          <w:end w:w="28" w:type="dxa"/>
        </w:tblCellMar>
      </w:tblPr>
      <w:tblGrid>
        <w:gridCol w:w="1201"/>
        <w:gridCol w:w="811"/>
        <w:gridCol w:w="811"/>
        <w:gridCol w:w="811"/>
        <w:gridCol w:w="856"/>
      </w:tblGrid>
      <w:tr>
        <w:trPr/>
        <w:tc>
          <w:tcPr>
            <w:tcW w:w="1201" w:type="dxa"/>
            <w:tcBorders/>
            <w:vAlign w:val="center"/>
          </w:tcPr>
          <w:p>
            <w:pPr>
              <w:pStyle w:val="TableContents"/>
              <w:bidi w:val="0"/>
              <w:jc w:val="start"/>
              <w:rPr/>
            </w:pPr>
            <w:r>
              <w:rPr/>
              <w:t xml:space="preserve">Weeks </w:t>
            </w:r>
          </w:p>
          <w:p>
            <w:pPr>
              <w:pStyle w:val="TableContents"/>
              <w:bidi w:val="0"/>
              <w:spacing w:before="0" w:after="283"/>
              <w:jc w:val="start"/>
              <w:rPr/>
            </w:pPr>
            <w:r>
              <w:rPr/>
              <w:t xml:space="preserve">Groups </w:t>
            </w:r>
          </w:p>
        </w:tc>
        <w:tc>
          <w:tcPr>
            <w:tcW w:w="811" w:type="dxa"/>
            <w:tcBorders/>
            <w:vAlign w:val="center"/>
          </w:tcPr>
          <w:p>
            <w:pPr>
              <w:pStyle w:val="TableContents"/>
              <w:bidi w:val="0"/>
              <w:jc w:val="start"/>
              <w:rPr/>
            </w:pPr>
            <w:r>
              <w:rPr/>
              <w:t xml:space="preserve">Three weeks* </w:t>
            </w:r>
          </w:p>
          <w:p>
            <w:pPr>
              <w:pStyle w:val="TableContents"/>
              <w:bidi w:val="0"/>
              <w:spacing w:before="0" w:after="283"/>
              <w:jc w:val="start"/>
              <w:rPr/>
            </w:pPr>
            <w:r>
              <w:rPr/>
              <w:t xml:space="preserve">after surgery </w:t>
            </w:r>
          </w:p>
        </w:tc>
        <w:tc>
          <w:tcPr>
            <w:tcW w:w="811" w:type="dxa"/>
            <w:tcBorders/>
            <w:vAlign w:val="center"/>
          </w:tcPr>
          <w:p>
            <w:pPr>
              <w:pStyle w:val="TableContents"/>
              <w:bidi w:val="0"/>
              <w:jc w:val="start"/>
              <w:rPr/>
            </w:pPr>
            <w:r>
              <w:rPr/>
              <w:t xml:space="preserve">Four weeks* </w:t>
            </w:r>
          </w:p>
          <w:p>
            <w:pPr>
              <w:pStyle w:val="TableContents"/>
              <w:bidi w:val="0"/>
              <w:spacing w:before="0" w:after="283"/>
              <w:jc w:val="start"/>
              <w:rPr/>
            </w:pPr>
            <w:r>
              <w:rPr/>
              <w:t xml:space="preserve">after surgery </w:t>
            </w:r>
          </w:p>
        </w:tc>
        <w:tc>
          <w:tcPr>
            <w:tcW w:w="811" w:type="dxa"/>
            <w:tcBorders/>
            <w:vAlign w:val="center"/>
          </w:tcPr>
          <w:p>
            <w:pPr>
              <w:pStyle w:val="TableContents"/>
              <w:bidi w:val="0"/>
              <w:jc w:val="start"/>
              <w:rPr/>
            </w:pPr>
            <w:r>
              <w:rPr/>
              <w:t xml:space="preserve">Five weeks </w:t>
            </w:r>
          </w:p>
          <w:p>
            <w:pPr>
              <w:pStyle w:val="TableContents"/>
              <w:bidi w:val="0"/>
              <w:spacing w:before="0" w:after="283"/>
              <w:jc w:val="start"/>
              <w:rPr/>
            </w:pPr>
            <w:r>
              <w:rPr/>
              <w:t xml:space="preserve">after surgery </w:t>
            </w:r>
          </w:p>
        </w:tc>
        <w:tc>
          <w:tcPr>
            <w:tcW w:w="856" w:type="dxa"/>
            <w:tcBorders/>
            <w:vAlign w:val="center"/>
          </w:tcPr>
          <w:p>
            <w:pPr>
              <w:pStyle w:val="TableContents"/>
              <w:bidi w:val="0"/>
              <w:jc w:val="start"/>
              <w:rPr/>
            </w:pPr>
            <w:r>
              <w:rPr/>
              <w:t xml:space="preserve">Week sixs* </w:t>
            </w:r>
          </w:p>
          <w:p>
            <w:pPr>
              <w:pStyle w:val="TableContents"/>
              <w:bidi w:val="0"/>
              <w:spacing w:before="0" w:after="283"/>
              <w:jc w:val="start"/>
              <w:rPr/>
            </w:pPr>
            <w:r>
              <w:rPr/>
              <w:t xml:space="preserve">after surgery </w:t>
            </w:r>
          </w:p>
        </w:tc>
      </w:tr>
      <w:tr>
        <w:trPr/>
        <w:tc>
          <w:tcPr>
            <w:tcW w:w="1201" w:type="dxa"/>
            <w:tcBorders/>
            <w:vAlign w:val="center"/>
          </w:tcPr>
          <w:p>
            <w:pPr>
              <w:pStyle w:val="TableContents"/>
              <w:bidi w:val="0"/>
              <w:spacing w:before="0" w:after="283"/>
              <w:jc w:val="start"/>
              <w:rPr/>
            </w:pPr>
            <w:r>
              <w:rPr/>
              <w:t xml:space="preserve">Sham </w:t>
            </w:r>
          </w:p>
        </w:tc>
        <w:tc>
          <w:tcPr>
            <w:tcW w:w="811" w:type="dxa"/>
            <w:tcBorders/>
            <w:vAlign w:val="center"/>
          </w:tcPr>
          <w:p>
            <w:pPr>
              <w:pStyle w:val="TableContents"/>
              <w:bidi w:val="0"/>
              <w:spacing w:before="0" w:after="283"/>
              <w:jc w:val="start"/>
              <w:rPr/>
            </w:pPr>
            <w:r>
              <w:rPr/>
              <w:t xml:space="preserve">3. 575 ±0. 2535 </w:t>
            </w:r>
            <w:r>
              <w:rPr>
                <w:position w:val="8"/>
                <w:sz w:val="19"/>
              </w:rPr>
              <w:t xml:space="preserve">a </w:t>
            </w:r>
          </w:p>
        </w:tc>
        <w:tc>
          <w:tcPr>
            <w:tcW w:w="811" w:type="dxa"/>
            <w:tcBorders/>
            <w:vAlign w:val="center"/>
          </w:tcPr>
          <w:p>
            <w:pPr>
              <w:pStyle w:val="TableContents"/>
              <w:bidi w:val="0"/>
              <w:spacing w:before="0" w:after="283"/>
              <w:jc w:val="start"/>
              <w:rPr/>
            </w:pPr>
            <w:r>
              <w:rPr/>
              <w:t xml:space="preserve">5. 449 ±0. 288 </w:t>
            </w:r>
            <w:r>
              <w:rPr>
                <w:position w:val="8"/>
                <w:sz w:val="19"/>
              </w:rPr>
              <w:t xml:space="preserve">b </w:t>
            </w:r>
          </w:p>
        </w:tc>
        <w:tc>
          <w:tcPr>
            <w:tcW w:w="811" w:type="dxa"/>
            <w:tcBorders/>
            <w:vAlign w:val="center"/>
          </w:tcPr>
          <w:p>
            <w:pPr>
              <w:pStyle w:val="TableContents"/>
              <w:bidi w:val="0"/>
              <w:spacing w:before="0" w:after="283"/>
              <w:jc w:val="start"/>
              <w:rPr/>
            </w:pPr>
            <w:r>
              <w:rPr/>
              <w:t xml:space="preserve">3. 708 ± 0. 399 </w:t>
            </w:r>
            <w:r>
              <w:rPr>
                <w:position w:val="8"/>
                <w:sz w:val="19"/>
              </w:rPr>
              <w:t xml:space="preserve">a </w:t>
            </w:r>
          </w:p>
        </w:tc>
        <w:tc>
          <w:tcPr>
            <w:tcW w:w="856" w:type="dxa"/>
            <w:tcBorders/>
            <w:vAlign w:val="center"/>
          </w:tcPr>
          <w:p>
            <w:pPr>
              <w:pStyle w:val="TableContents"/>
              <w:bidi w:val="0"/>
              <w:spacing w:before="0" w:after="283"/>
              <w:jc w:val="start"/>
              <w:rPr/>
            </w:pPr>
            <w:r>
              <w:rPr/>
              <w:t xml:space="preserve">5. 177 ±0. 397 </w:t>
            </w:r>
            <w:r>
              <w:rPr>
                <w:position w:val="8"/>
                <w:sz w:val="19"/>
              </w:rPr>
              <w:t xml:space="preserve">b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(n) </w:t>
            </w:r>
          </w:p>
        </w:tc>
        <w:tc>
          <w:tcPr>
            <w:tcW w:w="811" w:type="dxa"/>
            <w:tcBorders/>
            <w:vAlign w:val="center"/>
          </w:tcPr>
          <w:p>
            <w:pPr>
              <w:pStyle w:val="TableContents"/>
              <w:bidi w:val="0"/>
              <w:spacing w:before="0" w:after="283"/>
              <w:jc w:val="start"/>
              <w:rPr/>
            </w:pPr>
            <w:r>
              <w:rPr/>
              <w:t xml:space="preserve">5. 350 ± 0. 778 </w:t>
            </w:r>
            <w:r>
              <w:rPr>
                <w:position w:val="8"/>
                <w:sz w:val="19"/>
              </w:rPr>
              <w:t xml:space="preserve">b </w:t>
            </w:r>
          </w:p>
        </w:tc>
        <w:tc>
          <w:tcPr>
            <w:tcW w:w="811" w:type="dxa"/>
            <w:tcBorders/>
            <w:vAlign w:val="center"/>
          </w:tcPr>
          <w:p>
            <w:pPr>
              <w:pStyle w:val="TableContents"/>
              <w:bidi w:val="0"/>
              <w:spacing w:before="0" w:after="283"/>
              <w:jc w:val="start"/>
              <w:rPr/>
            </w:pPr>
            <w:r>
              <w:rPr/>
              <w:t xml:space="preserve">4. 921 ±0. 625 </w:t>
            </w:r>
            <w:r>
              <w:rPr>
                <w:position w:val="8"/>
                <w:sz w:val="19"/>
              </w:rPr>
              <w:t xml:space="preserve">b </w:t>
            </w:r>
          </w:p>
        </w:tc>
        <w:tc>
          <w:tcPr>
            <w:tcW w:w="811" w:type="dxa"/>
            <w:tcBorders/>
            <w:vAlign w:val="center"/>
          </w:tcPr>
          <w:p>
            <w:pPr>
              <w:pStyle w:val="TableContents"/>
              <w:bidi w:val="0"/>
              <w:spacing w:before="0" w:after="283"/>
              <w:jc w:val="start"/>
              <w:rPr/>
            </w:pPr>
            <w:r>
              <w:rPr/>
              <w:t xml:space="preserve">4. 832 ± 0. 234 </w:t>
            </w:r>
            <w:r>
              <w:rPr>
                <w:position w:val="8"/>
                <w:sz w:val="19"/>
              </w:rPr>
              <w:t xml:space="preserve">a </w:t>
            </w:r>
          </w:p>
        </w:tc>
        <w:tc>
          <w:tcPr>
            <w:tcW w:w="856" w:type="dxa"/>
            <w:tcBorders/>
            <w:vAlign w:val="center"/>
          </w:tcPr>
          <w:p>
            <w:pPr>
              <w:pStyle w:val="TableContents"/>
              <w:bidi w:val="0"/>
              <w:spacing w:before="0" w:after="283"/>
              <w:jc w:val="start"/>
              <w:rPr/>
            </w:pPr>
            <w:r>
              <w:rPr/>
              <w:t xml:space="preserve">4. 735 ±0. 563 </w:t>
            </w:r>
            <w:r>
              <w:rPr>
                <w:position w:val="8"/>
                <w:sz w:val="19"/>
              </w:rPr>
              <w:t xml:space="preserve">b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p>
        </w:tc>
        <w:tc>
          <w:tcPr>
            <w:tcW w:w="811" w:type="dxa"/>
            <w:tcBorders/>
            <w:vAlign w:val="center"/>
          </w:tcPr>
          <w:p>
            <w:pPr>
              <w:pStyle w:val="TableContents"/>
              <w:bidi w:val="0"/>
              <w:spacing w:before="0" w:after="283"/>
              <w:jc w:val="start"/>
              <w:rPr/>
            </w:pPr>
            <w:r>
              <w:rPr/>
              <w:t xml:space="preserve">4. 683 ± 0. 458 </w:t>
            </w:r>
            <w:r>
              <w:rPr>
                <w:position w:val="8"/>
                <w:sz w:val="19"/>
              </w:rPr>
              <w:t xml:space="preserve">ab </w:t>
            </w:r>
          </w:p>
        </w:tc>
        <w:tc>
          <w:tcPr>
            <w:tcW w:w="811" w:type="dxa"/>
            <w:tcBorders/>
            <w:vAlign w:val="center"/>
          </w:tcPr>
          <w:p>
            <w:pPr>
              <w:pStyle w:val="TableContents"/>
              <w:bidi w:val="0"/>
              <w:spacing w:before="0" w:after="283"/>
              <w:jc w:val="start"/>
              <w:rPr/>
            </w:pPr>
            <w:r>
              <w:rPr/>
              <w:t xml:space="preserve">4. 932 ± 0. 642 </w:t>
            </w:r>
            <w:r>
              <w:rPr>
                <w:position w:val="8"/>
                <w:sz w:val="19"/>
              </w:rPr>
              <w:t xml:space="preserve">b </w:t>
            </w:r>
          </w:p>
        </w:tc>
        <w:tc>
          <w:tcPr>
            <w:tcW w:w="811" w:type="dxa"/>
            <w:tcBorders/>
            <w:vAlign w:val="center"/>
          </w:tcPr>
          <w:p>
            <w:pPr>
              <w:pStyle w:val="TableContents"/>
              <w:bidi w:val="0"/>
              <w:spacing w:before="0" w:after="283"/>
              <w:jc w:val="start"/>
              <w:rPr/>
            </w:pPr>
            <w:r>
              <w:rPr/>
              <w:t xml:space="preserve">10. 31 ± 0. 626 </w:t>
            </w:r>
            <w:r>
              <w:rPr>
                <w:position w:val="8"/>
                <w:sz w:val="19"/>
              </w:rPr>
              <w:t xml:space="preserve">a </w:t>
            </w:r>
          </w:p>
        </w:tc>
        <w:tc>
          <w:tcPr>
            <w:tcW w:w="856" w:type="dxa"/>
            <w:tcBorders/>
            <w:vAlign w:val="center"/>
          </w:tcPr>
          <w:p>
            <w:pPr>
              <w:pStyle w:val="TableContents"/>
              <w:bidi w:val="0"/>
              <w:spacing w:before="0" w:after="283"/>
              <w:jc w:val="start"/>
              <w:rPr/>
            </w:pPr>
            <w:r>
              <w:rPr/>
              <w:t xml:space="preserve">4. 058 ± 0. 474 </w:t>
            </w:r>
            <w:r>
              <w:rPr>
                <w:position w:val="8"/>
                <w:sz w:val="19"/>
              </w:rPr>
              <w:t xml:space="preserve">ab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r>
              <w:rPr/>
              <w:t xml:space="preserve">+ Bosentan </w:t>
            </w:r>
          </w:p>
        </w:tc>
        <w:tc>
          <w:tcPr>
            <w:tcW w:w="811" w:type="dxa"/>
            <w:tcBorders/>
            <w:vAlign w:val="center"/>
          </w:tcPr>
          <w:p>
            <w:pPr>
              <w:pStyle w:val="TableContents"/>
              <w:bidi w:val="0"/>
              <w:spacing w:before="0" w:after="283"/>
              <w:jc w:val="start"/>
              <w:rPr/>
            </w:pPr>
            <w:r>
              <w:rPr/>
              <w:t xml:space="preserve">5. 451 ± 1. 2790 </w:t>
            </w:r>
            <w:r>
              <w:rPr>
                <w:position w:val="8"/>
                <w:sz w:val="19"/>
              </w:rPr>
              <w:t xml:space="preserve">b </w:t>
            </w:r>
          </w:p>
        </w:tc>
        <w:tc>
          <w:tcPr>
            <w:tcW w:w="811" w:type="dxa"/>
            <w:tcBorders/>
            <w:vAlign w:val="center"/>
          </w:tcPr>
          <w:p>
            <w:pPr>
              <w:pStyle w:val="TableContents"/>
              <w:bidi w:val="0"/>
              <w:spacing w:before="0" w:after="283"/>
              <w:jc w:val="start"/>
              <w:rPr/>
            </w:pPr>
            <w:r>
              <w:rPr/>
              <w:t xml:space="preserve">3. 330 ± 0. 609 </w:t>
            </w:r>
            <w:r>
              <w:rPr>
                <w:position w:val="8"/>
                <w:sz w:val="19"/>
              </w:rPr>
              <w:t xml:space="preserve">a </w:t>
            </w:r>
          </w:p>
        </w:tc>
        <w:tc>
          <w:tcPr>
            <w:tcW w:w="811" w:type="dxa"/>
            <w:tcBorders/>
            <w:vAlign w:val="center"/>
          </w:tcPr>
          <w:p>
            <w:pPr>
              <w:pStyle w:val="TableContents"/>
              <w:bidi w:val="0"/>
              <w:spacing w:before="0" w:after="283"/>
              <w:jc w:val="start"/>
              <w:rPr/>
            </w:pPr>
            <w:r>
              <w:rPr/>
              <w:t xml:space="preserve">5. 178 ± 0. 616 </w:t>
            </w:r>
            <w:r>
              <w:rPr>
                <w:position w:val="8"/>
                <w:sz w:val="19"/>
              </w:rPr>
              <w:t xml:space="preserve">a </w:t>
            </w:r>
          </w:p>
        </w:tc>
        <w:tc>
          <w:tcPr>
            <w:tcW w:w="856" w:type="dxa"/>
            <w:tcBorders/>
            <w:vAlign w:val="center"/>
          </w:tcPr>
          <w:p>
            <w:pPr>
              <w:pStyle w:val="TableContents"/>
              <w:bidi w:val="0"/>
              <w:spacing w:before="0" w:after="283"/>
              <w:jc w:val="start"/>
              <w:rPr/>
            </w:pPr>
            <w:r>
              <w:rPr/>
              <w:t xml:space="preserve">2. 888 ± 0. 677 </w:t>
            </w:r>
            <w:r>
              <w:rPr>
                <w:position w:val="8"/>
                <w:sz w:val="19"/>
              </w:rPr>
              <w:t xml:space="preserve">a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r>
              <w:rPr/>
              <w:t xml:space="preserve">+ Losartan </w:t>
            </w:r>
          </w:p>
        </w:tc>
        <w:tc>
          <w:tcPr>
            <w:tcW w:w="811" w:type="dxa"/>
            <w:tcBorders/>
            <w:vAlign w:val="center"/>
          </w:tcPr>
          <w:p>
            <w:pPr>
              <w:pStyle w:val="TableContents"/>
              <w:bidi w:val="0"/>
              <w:spacing w:before="0" w:after="283"/>
              <w:jc w:val="start"/>
              <w:rPr/>
            </w:pPr>
            <w:r>
              <w:rPr/>
              <w:t xml:space="preserve">4. 842 ± 1. 456 </w:t>
            </w:r>
            <w:r>
              <w:rPr>
                <w:position w:val="8"/>
                <w:sz w:val="19"/>
              </w:rPr>
              <w:t xml:space="preserve">ab </w:t>
            </w:r>
          </w:p>
        </w:tc>
        <w:tc>
          <w:tcPr>
            <w:tcW w:w="811" w:type="dxa"/>
            <w:tcBorders/>
            <w:vAlign w:val="center"/>
          </w:tcPr>
          <w:p>
            <w:pPr>
              <w:pStyle w:val="TableContents"/>
              <w:bidi w:val="0"/>
              <w:spacing w:before="0" w:after="283"/>
              <w:jc w:val="start"/>
              <w:rPr/>
            </w:pPr>
            <w:r>
              <w:rPr/>
              <w:t xml:space="preserve">3. 134 ± 0. 403 </w:t>
            </w:r>
            <w:r>
              <w:rPr>
                <w:position w:val="8"/>
                <w:sz w:val="19"/>
              </w:rPr>
              <w:t xml:space="preserve">a </w:t>
            </w:r>
          </w:p>
        </w:tc>
        <w:tc>
          <w:tcPr>
            <w:tcW w:w="811" w:type="dxa"/>
            <w:tcBorders/>
            <w:vAlign w:val="center"/>
          </w:tcPr>
          <w:p>
            <w:pPr>
              <w:pStyle w:val="TableContents"/>
              <w:bidi w:val="0"/>
              <w:spacing w:before="0" w:after="283"/>
              <w:jc w:val="start"/>
              <w:rPr/>
            </w:pPr>
            <w:r>
              <w:rPr/>
              <w:t xml:space="preserve">4. 524 ± 0. 520 </w:t>
            </w:r>
            <w:r>
              <w:rPr>
                <w:position w:val="8"/>
                <w:sz w:val="19"/>
              </w:rPr>
              <w:t xml:space="preserve">a </w:t>
            </w:r>
          </w:p>
        </w:tc>
        <w:tc>
          <w:tcPr>
            <w:tcW w:w="856" w:type="dxa"/>
            <w:tcBorders/>
            <w:vAlign w:val="center"/>
          </w:tcPr>
          <w:p>
            <w:pPr>
              <w:pStyle w:val="TableContents"/>
              <w:bidi w:val="0"/>
              <w:spacing w:before="0" w:after="283"/>
              <w:jc w:val="start"/>
              <w:rPr/>
            </w:pPr>
            <w:r>
              <w:rPr/>
              <w:t xml:space="preserve">4. 295 ± 0. 465 </w:t>
            </w:r>
            <w:r>
              <w:rPr>
                <w:position w:val="8"/>
                <w:sz w:val="19"/>
              </w:rPr>
              <w:t xml:space="preserve">ab </w:t>
            </w:r>
          </w:p>
        </w:tc>
      </w:tr>
    </w:tbl>
    <w:p>
      <w:pPr>
        <w:pStyle w:val="TextBody"/>
        <w:bidi w:val="0"/>
        <w:spacing w:before="0" w:after="283"/>
        <w:jc w:val="start"/>
        <w:rPr/>
      </w:pPr>
      <w:r>
        <w:rPr/>
        <w:t xml:space="preserve">Table 4. 12: Effects of bosentan and losartan on urine flow (ml/Kg/hr) from third week to sixth week after surgery in 2K1C hypertensive rats. </w:t>
      </w:r>
    </w:p>
    <w:tbl>
      <w:tblPr>
        <w:tblW w:w="4490" w:type="dxa"/>
        <w:jc w:val="start"/>
        <w:tblInd w:w="0" w:type="dxa"/>
        <w:tblLayout w:type="fixed"/>
        <w:tblCellMar>
          <w:top w:w="28" w:type="dxa"/>
          <w:start w:w="28" w:type="dxa"/>
          <w:bottom w:w="28" w:type="dxa"/>
          <w:end w:w="28" w:type="dxa"/>
        </w:tblCellMar>
      </w:tblPr>
      <w:tblGrid>
        <w:gridCol w:w="1201"/>
        <w:gridCol w:w="811"/>
        <w:gridCol w:w="811"/>
        <w:gridCol w:w="811"/>
        <w:gridCol w:w="856"/>
      </w:tblGrid>
      <w:tr>
        <w:trPr/>
        <w:tc>
          <w:tcPr>
            <w:tcW w:w="1201" w:type="dxa"/>
            <w:tcBorders/>
            <w:vAlign w:val="center"/>
          </w:tcPr>
          <w:p>
            <w:pPr>
              <w:pStyle w:val="TableContents"/>
              <w:bidi w:val="0"/>
              <w:jc w:val="start"/>
              <w:rPr/>
            </w:pPr>
            <w:r>
              <w:rPr/>
              <w:t xml:space="preserve">Weeks </w:t>
            </w:r>
          </w:p>
          <w:p>
            <w:pPr>
              <w:pStyle w:val="TableContents"/>
              <w:bidi w:val="0"/>
              <w:spacing w:before="0" w:after="283"/>
              <w:jc w:val="start"/>
              <w:rPr/>
            </w:pPr>
            <w:r>
              <w:rPr/>
              <w:t xml:space="preserve">Groups </w:t>
            </w:r>
          </w:p>
        </w:tc>
        <w:tc>
          <w:tcPr>
            <w:tcW w:w="811" w:type="dxa"/>
            <w:tcBorders/>
            <w:vAlign w:val="center"/>
          </w:tcPr>
          <w:p>
            <w:pPr>
              <w:pStyle w:val="TableContents"/>
              <w:bidi w:val="0"/>
              <w:jc w:val="start"/>
              <w:rPr/>
            </w:pPr>
            <w:r>
              <w:rPr/>
              <w:t xml:space="preserve">Three weeks </w:t>
            </w:r>
          </w:p>
          <w:p>
            <w:pPr>
              <w:pStyle w:val="TableContents"/>
              <w:bidi w:val="0"/>
              <w:spacing w:before="0" w:after="283"/>
              <w:jc w:val="start"/>
              <w:rPr/>
            </w:pPr>
            <w:r>
              <w:rPr/>
              <w:t xml:space="preserve">after surgery </w:t>
            </w:r>
          </w:p>
        </w:tc>
        <w:tc>
          <w:tcPr>
            <w:tcW w:w="811" w:type="dxa"/>
            <w:tcBorders/>
            <w:vAlign w:val="center"/>
          </w:tcPr>
          <w:p>
            <w:pPr>
              <w:pStyle w:val="TableContents"/>
              <w:bidi w:val="0"/>
              <w:jc w:val="start"/>
              <w:rPr/>
            </w:pPr>
            <w:r>
              <w:rPr/>
              <w:t xml:space="preserve">Four weeks </w:t>
            </w:r>
          </w:p>
          <w:p>
            <w:pPr>
              <w:pStyle w:val="TableContents"/>
              <w:bidi w:val="0"/>
              <w:spacing w:before="0" w:after="283"/>
              <w:jc w:val="start"/>
              <w:rPr/>
            </w:pPr>
            <w:r>
              <w:rPr/>
              <w:t xml:space="preserve">after surgery </w:t>
            </w:r>
          </w:p>
        </w:tc>
        <w:tc>
          <w:tcPr>
            <w:tcW w:w="811" w:type="dxa"/>
            <w:tcBorders/>
            <w:vAlign w:val="center"/>
          </w:tcPr>
          <w:p>
            <w:pPr>
              <w:pStyle w:val="TableContents"/>
              <w:bidi w:val="0"/>
              <w:jc w:val="start"/>
              <w:rPr/>
            </w:pPr>
            <w:r>
              <w:rPr/>
              <w:t xml:space="preserve">Five weeks* </w:t>
            </w:r>
          </w:p>
          <w:p>
            <w:pPr>
              <w:pStyle w:val="TableContents"/>
              <w:bidi w:val="0"/>
              <w:spacing w:before="0" w:after="283"/>
              <w:jc w:val="start"/>
              <w:rPr/>
            </w:pPr>
            <w:r>
              <w:rPr/>
              <w:t xml:space="preserve">after surgery </w:t>
            </w:r>
          </w:p>
        </w:tc>
        <w:tc>
          <w:tcPr>
            <w:tcW w:w="856" w:type="dxa"/>
            <w:tcBorders/>
            <w:vAlign w:val="center"/>
          </w:tcPr>
          <w:p>
            <w:pPr>
              <w:pStyle w:val="TableContents"/>
              <w:bidi w:val="0"/>
              <w:jc w:val="start"/>
              <w:rPr/>
            </w:pPr>
            <w:r>
              <w:rPr/>
              <w:t xml:space="preserve">Six weeks </w:t>
            </w:r>
          </w:p>
          <w:p>
            <w:pPr>
              <w:pStyle w:val="TableContents"/>
              <w:bidi w:val="0"/>
              <w:spacing w:before="0" w:after="283"/>
              <w:jc w:val="start"/>
              <w:rPr/>
            </w:pPr>
            <w:r>
              <w:rPr/>
              <w:t xml:space="preserve">after surgery </w:t>
            </w:r>
          </w:p>
        </w:tc>
      </w:tr>
      <w:tr>
        <w:trPr/>
        <w:tc>
          <w:tcPr>
            <w:tcW w:w="1201" w:type="dxa"/>
            <w:tcBorders/>
            <w:vAlign w:val="center"/>
          </w:tcPr>
          <w:p>
            <w:pPr>
              <w:pStyle w:val="TableContents"/>
              <w:bidi w:val="0"/>
              <w:spacing w:before="0" w:after="283"/>
              <w:jc w:val="start"/>
              <w:rPr/>
            </w:pPr>
            <w:r>
              <w:rPr/>
              <w:t xml:space="preserve">Sham </w:t>
            </w:r>
          </w:p>
        </w:tc>
        <w:tc>
          <w:tcPr>
            <w:tcW w:w="811" w:type="dxa"/>
            <w:tcBorders/>
            <w:vAlign w:val="center"/>
          </w:tcPr>
          <w:p>
            <w:pPr>
              <w:pStyle w:val="TableContents"/>
              <w:bidi w:val="0"/>
              <w:spacing w:before="0" w:after="283"/>
              <w:jc w:val="start"/>
              <w:rPr/>
            </w:pPr>
            <w:r>
              <w:rPr/>
              <w:t xml:space="preserve">0. 9195 ±0. 2760 </w:t>
            </w:r>
            <w:r>
              <w:rPr>
                <w:position w:val="8"/>
                <w:sz w:val="19"/>
              </w:rPr>
              <w:t xml:space="preserve">a </w:t>
            </w:r>
          </w:p>
        </w:tc>
        <w:tc>
          <w:tcPr>
            <w:tcW w:w="811" w:type="dxa"/>
            <w:tcBorders/>
            <w:vAlign w:val="center"/>
          </w:tcPr>
          <w:p>
            <w:pPr>
              <w:pStyle w:val="TableContents"/>
              <w:bidi w:val="0"/>
              <w:spacing w:before="0" w:after="283"/>
              <w:jc w:val="start"/>
              <w:rPr/>
            </w:pPr>
            <w:r>
              <w:rPr/>
              <w:t xml:space="preserve">0. 7317 ±0. 1381 </w:t>
            </w:r>
            <w:r>
              <w:rPr>
                <w:position w:val="8"/>
                <w:sz w:val="19"/>
              </w:rPr>
              <w:t xml:space="preserve">a </w:t>
            </w:r>
          </w:p>
        </w:tc>
        <w:tc>
          <w:tcPr>
            <w:tcW w:w="811" w:type="dxa"/>
            <w:tcBorders/>
            <w:vAlign w:val="center"/>
          </w:tcPr>
          <w:p>
            <w:pPr>
              <w:pStyle w:val="TableContents"/>
              <w:bidi w:val="0"/>
              <w:spacing w:before="0" w:after="283"/>
              <w:jc w:val="start"/>
              <w:rPr/>
            </w:pPr>
            <w:r>
              <w:rPr/>
              <w:t xml:space="preserve">1. 280 ±0 . 2036 </w:t>
            </w:r>
            <w:r>
              <w:rPr>
                <w:position w:val="8"/>
                <w:sz w:val="19"/>
              </w:rPr>
              <w:t xml:space="preserve">b </w:t>
            </w:r>
          </w:p>
        </w:tc>
        <w:tc>
          <w:tcPr>
            <w:tcW w:w="856" w:type="dxa"/>
            <w:tcBorders/>
            <w:vAlign w:val="center"/>
          </w:tcPr>
          <w:p>
            <w:pPr>
              <w:pStyle w:val="TableContents"/>
              <w:bidi w:val="0"/>
              <w:spacing w:before="0" w:after="283"/>
              <w:jc w:val="start"/>
              <w:rPr/>
            </w:pPr>
            <w:r>
              <w:rPr/>
              <w:t xml:space="preserve">1. 482 ±0. 5072 </w:t>
            </w:r>
            <w:r>
              <w:rPr>
                <w:position w:val="8"/>
                <w:sz w:val="19"/>
              </w:rPr>
              <w:t xml:space="preserve">a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(n) </w:t>
            </w:r>
          </w:p>
        </w:tc>
        <w:tc>
          <w:tcPr>
            <w:tcW w:w="811" w:type="dxa"/>
            <w:tcBorders/>
            <w:vAlign w:val="center"/>
          </w:tcPr>
          <w:p>
            <w:pPr>
              <w:pStyle w:val="TableContents"/>
              <w:bidi w:val="0"/>
              <w:spacing w:before="0" w:after="283"/>
              <w:jc w:val="start"/>
              <w:rPr/>
            </w:pPr>
            <w:r>
              <w:rPr/>
              <w:t xml:space="preserve">0. 7280 ±0. 2598 </w:t>
            </w:r>
            <w:r>
              <w:rPr>
                <w:position w:val="8"/>
                <w:sz w:val="19"/>
              </w:rPr>
              <w:t xml:space="preserve">a </w:t>
            </w:r>
          </w:p>
        </w:tc>
        <w:tc>
          <w:tcPr>
            <w:tcW w:w="811" w:type="dxa"/>
            <w:tcBorders/>
            <w:vAlign w:val="center"/>
          </w:tcPr>
          <w:p>
            <w:pPr>
              <w:pStyle w:val="TableContents"/>
              <w:bidi w:val="0"/>
              <w:spacing w:before="0" w:after="283"/>
              <w:jc w:val="start"/>
              <w:rPr/>
            </w:pPr>
            <w:r>
              <w:rPr/>
              <w:t xml:space="preserve">0. 7052 ±0. 3050 </w:t>
            </w:r>
            <w:r>
              <w:rPr>
                <w:position w:val="8"/>
                <w:sz w:val="19"/>
              </w:rPr>
              <w:t xml:space="preserve">a </w:t>
            </w:r>
          </w:p>
        </w:tc>
        <w:tc>
          <w:tcPr>
            <w:tcW w:w="811" w:type="dxa"/>
            <w:tcBorders/>
            <w:vAlign w:val="center"/>
          </w:tcPr>
          <w:p>
            <w:pPr>
              <w:pStyle w:val="TableContents"/>
              <w:bidi w:val="0"/>
              <w:spacing w:before="0" w:after="283"/>
              <w:jc w:val="start"/>
              <w:rPr/>
            </w:pPr>
            <w:r>
              <w:rPr/>
              <w:t xml:space="preserve">0. 7286 ±0. 1786 </w:t>
            </w:r>
            <w:r>
              <w:rPr>
                <w:position w:val="8"/>
                <w:sz w:val="19"/>
              </w:rPr>
              <w:t xml:space="preserve">ab </w:t>
            </w:r>
          </w:p>
        </w:tc>
        <w:tc>
          <w:tcPr>
            <w:tcW w:w="856" w:type="dxa"/>
            <w:tcBorders/>
            <w:vAlign w:val="center"/>
          </w:tcPr>
          <w:p>
            <w:pPr>
              <w:pStyle w:val="TableContents"/>
              <w:bidi w:val="0"/>
              <w:spacing w:before="0" w:after="283"/>
              <w:jc w:val="start"/>
              <w:rPr/>
            </w:pPr>
            <w:r>
              <w:rPr/>
              <w:t xml:space="preserve">0. 6325 ±0. 2346 </w:t>
            </w:r>
            <w:r>
              <w:rPr>
                <w:position w:val="8"/>
                <w:sz w:val="19"/>
              </w:rPr>
              <w:t xml:space="preserve">a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p>
        </w:tc>
        <w:tc>
          <w:tcPr>
            <w:tcW w:w="811" w:type="dxa"/>
            <w:tcBorders/>
            <w:vAlign w:val="center"/>
          </w:tcPr>
          <w:p>
            <w:pPr>
              <w:pStyle w:val="TableContents"/>
              <w:bidi w:val="0"/>
              <w:spacing w:before="0" w:after="283"/>
              <w:jc w:val="start"/>
              <w:rPr/>
            </w:pPr>
            <w:r>
              <w:rPr/>
              <w:t xml:space="preserve">1. 373 ±0. 3616 </w:t>
            </w:r>
            <w:r>
              <w:rPr>
                <w:position w:val="8"/>
                <w:sz w:val="19"/>
              </w:rPr>
              <w:t xml:space="preserve">a </w:t>
            </w:r>
          </w:p>
        </w:tc>
        <w:tc>
          <w:tcPr>
            <w:tcW w:w="811" w:type="dxa"/>
            <w:tcBorders/>
            <w:vAlign w:val="center"/>
          </w:tcPr>
          <w:p>
            <w:pPr>
              <w:pStyle w:val="TableContents"/>
              <w:bidi w:val="0"/>
              <w:spacing w:before="0" w:after="283"/>
              <w:jc w:val="start"/>
              <w:rPr/>
            </w:pPr>
            <w:r>
              <w:rPr/>
              <w:t xml:space="preserve">0. 7718 ±0. 1376 </w:t>
            </w:r>
            <w:r>
              <w:rPr>
                <w:position w:val="8"/>
                <w:sz w:val="19"/>
              </w:rPr>
              <w:t xml:space="preserve">a </w:t>
            </w:r>
          </w:p>
        </w:tc>
        <w:tc>
          <w:tcPr>
            <w:tcW w:w="811" w:type="dxa"/>
            <w:tcBorders/>
            <w:vAlign w:val="center"/>
          </w:tcPr>
          <w:p>
            <w:pPr>
              <w:pStyle w:val="TableContents"/>
              <w:bidi w:val="0"/>
              <w:spacing w:before="0" w:after="283"/>
              <w:jc w:val="start"/>
              <w:rPr/>
            </w:pPr>
            <w:r>
              <w:rPr/>
              <w:t xml:space="preserve">1. 033 ±0. 2383 </w:t>
            </w:r>
            <w:r>
              <w:rPr>
                <w:position w:val="8"/>
                <w:sz w:val="19"/>
              </w:rPr>
              <w:t xml:space="preserve">ab </w:t>
            </w:r>
          </w:p>
        </w:tc>
        <w:tc>
          <w:tcPr>
            <w:tcW w:w="856" w:type="dxa"/>
            <w:tcBorders/>
            <w:vAlign w:val="center"/>
          </w:tcPr>
          <w:p>
            <w:pPr>
              <w:pStyle w:val="TableContents"/>
              <w:bidi w:val="0"/>
              <w:spacing w:before="0" w:after="283"/>
              <w:jc w:val="start"/>
              <w:rPr/>
            </w:pPr>
            <w:r>
              <w:rPr/>
              <w:t xml:space="preserve">0. 9083 ±0. 1582 </w:t>
            </w:r>
            <w:r>
              <w:rPr>
                <w:position w:val="8"/>
                <w:sz w:val="19"/>
              </w:rPr>
              <w:t xml:space="preserve">a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r>
              <w:rPr/>
              <w:t xml:space="preserve">+ Bosentan </w:t>
            </w:r>
          </w:p>
        </w:tc>
        <w:tc>
          <w:tcPr>
            <w:tcW w:w="811" w:type="dxa"/>
            <w:tcBorders/>
            <w:vAlign w:val="center"/>
          </w:tcPr>
          <w:p>
            <w:pPr>
              <w:pStyle w:val="TableContents"/>
              <w:bidi w:val="0"/>
              <w:spacing w:before="0" w:after="283"/>
              <w:jc w:val="start"/>
              <w:rPr/>
            </w:pPr>
            <w:r>
              <w:rPr/>
              <w:t xml:space="preserve">0. 8382 ±0. 1866 </w:t>
            </w:r>
            <w:r>
              <w:rPr>
                <w:position w:val="8"/>
                <w:sz w:val="19"/>
              </w:rPr>
              <w:t xml:space="preserve">a </w:t>
            </w:r>
          </w:p>
        </w:tc>
        <w:tc>
          <w:tcPr>
            <w:tcW w:w="811" w:type="dxa"/>
            <w:tcBorders/>
            <w:vAlign w:val="center"/>
          </w:tcPr>
          <w:p>
            <w:pPr>
              <w:pStyle w:val="TableContents"/>
              <w:bidi w:val="0"/>
              <w:spacing w:before="0" w:after="283"/>
              <w:jc w:val="start"/>
              <w:rPr/>
            </w:pPr>
            <w:r>
              <w:rPr/>
              <w:t xml:space="preserve">1. 162 ±0. 2976 </w:t>
            </w:r>
            <w:r>
              <w:rPr>
                <w:position w:val="8"/>
                <w:sz w:val="19"/>
              </w:rPr>
              <w:t xml:space="preserve">a </w:t>
            </w:r>
          </w:p>
        </w:tc>
        <w:tc>
          <w:tcPr>
            <w:tcW w:w="811" w:type="dxa"/>
            <w:tcBorders/>
            <w:vAlign w:val="center"/>
          </w:tcPr>
          <w:p>
            <w:pPr>
              <w:pStyle w:val="TableContents"/>
              <w:bidi w:val="0"/>
              <w:spacing w:before="0" w:after="283"/>
              <w:jc w:val="start"/>
              <w:rPr/>
            </w:pPr>
            <w:r>
              <w:rPr/>
              <w:t xml:space="preserve">0. 5971 ±0. 0938 </w:t>
            </w:r>
            <w:r>
              <w:rPr>
                <w:position w:val="8"/>
                <w:sz w:val="19"/>
              </w:rPr>
              <w:t xml:space="preserve">a </w:t>
            </w:r>
          </w:p>
        </w:tc>
        <w:tc>
          <w:tcPr>
            <w:tcW w:w="856" w:type="dxa"/>
            <w:tcBorders/>
            <w:vAlign w:val="center"/>
          </w:tcPr>
          <w:p>
            <w:pPr>
              <w:pStyle w:val="TableContents"/>
              <w:bidi w:val="0"/>
              <w:spacing w:before="0" w:after="283"/>
              <w:jc w:val="start"/>
              <w:rPr/>
            </w:pPr>
            <w:r>
              <w:rPr/>
              <w:t xml:space="preserve">0. 6880 ±0. 1200 </w:t>
            </w:r>
            <w:r>
              <w:rPr>
                <w:position w:val="8"/>
                <w:sz w:val="19"/>
              </w:rPr>
              <w:t xml:space="preserve">a </w:t>
            </w:r>
          </w:p>
        </w:tc>
      </w:tr>
      <w:tr>
        <w:trPr/>
        <w:tc>
          <w:tcPr>
            <w:tcW w:w="1201" w:type="dxa"/>
            <w:tcBorders/>
            <w:vAlign w:val="center"/>
          </w:tcPr>
          <w:p>
            <w:pPr>
              <w:pStyle w:val="TableContents"/>
              <w:bidi w:val="0"/>
              <w:spacing w:before="0" w:after="283"/>
              <w:jc w:val="start"/>
              <w:rPr/>
            </w:pPr>
            <w:r>
              <w:rPr/>
              <w:t xml:space="preserve">2K1C </w:t>
            </w:r>
            <w:r>
              <w:rPr>
                <w:position w:val="-2"/>
                <w:sz w:val="19"/>
              </w:rPr>
              <w:t xml:space="preserve">(h) </w:t>
            </w:r>
            <w:r>
              <w:rPr/>
              <w:t xml:space="preserve">+ Losartan </w:t>
            </w:r>
          </w:p>
        </w:tc>
        <w:tc>
          <w:tcPr>
            <w:tcW w:w="811" w:type="dxa"/>
            <w:tcBorders/>
            <w:vAlign w:val="center"/>
          </w:tcPr>
          <w:p>
            <w:pPr>
              <w:pStyle w:val="TableContents"/>
              <w:bidi w:val="0"/>
              <w:spacing w:before="0" w:after="283"/>
              <w:jc w:val="start"/>
              <w:rPr/>
            </w:pPr>
            <w:r>
              <w:rPr/>
              <w:t xml:space="preserve">1. 022 ±0. 2027 </w:t>
            </w:r>
            <w:r>
              <w:rPr>
                <w:position w:val="8"/>
                <w:sz w:val="19"/>
              </w:rPr>
              <w:t xml:space="preserve">a </w:t>
            </w:r>
          </w:p>
        </w:tc>
        <w:tc>
          <w:tcPr>
            <w:tcW w:w="811" w:type="dxa"/>
            <w:tcBorders/>
            <w:vAlign w:val="center"/>
          </w:tcPr>
          <w:p>
            <w:pPr>
              <w:pStyle w:val="TableContents"/>
              <w:bidi w:val="0"/>
              <w:spacing w:before="0" w:after="283"/>
              <w:jc w:val="start"/>
              <w:rPr/>
            </w:pPr>
            <w:r>
              <w:rPr/>
              <w:t xml:space="preserve">0. 6813 ±0. 1564 </w:t>
            </w:r>
            <w:r>
              <w:rPr>
                <w:position w:val="8"/>
                <w:sz w:val="19"/>
              </w:rPr>
              <w:t xml:space="preserve">a </w:t>
            </w:r>
          </w:p>
        </w:tc>
        <w:tc>
          <w:tcPr>
            <w:tcW w:w="811" w:type="dxa"/>
            <w:tcBorders/>
            <w:vAlign w:val="center"/>
          </w:tcPr>
          <w:p>
            <w:pPr>
              <w:pStyle w:val="TableContents"/>
              <w:bidi w:val="0"/>
              <w:spacing w:before="0" w:after="283"/>
              <w:jc w:val="start"/>
              <w:rPr/>
            </w:pPr>
            <w:r>
              <w:rPr/>
              <w:t xml:space="preserve">0. 8900 ±0. 1278 </w:t>
            </w:r>
            <w:r>
              <w:rPr>
                <w:position w:val="8"/>
                <w:sz w:val="19"/>
              </w:rPr>
              <w:t xml:space="preserve">ab </w:t>
            </w:r>
          </w:p>
        </w:tc>
        <w:tc>
          <w:tcPr>
            <w:tcW w:w="856" w:type="dxa"/>
            <w:tcBorders/>
            <w:vAlign w:val="center"/>
          </w:tcPr>
          <w:p>
            <w:pPr>
              <w:pStyle w:val="TableContents"/>
              <w:bidi w:val="0"/>
              <w:spacing w:before="0" w:after="283"/>
              <w:jc w:val="start"/>
              <w:rPr/>
            </w:pPr>
            <w:r>
              <w:rPr/>
              <w:t xml:space="preserve">0. 8550 ±0. 1189 </w:t>
            </w:r>
            <w:r>
              <w:rPr>
                <w:position w:val="8"/>
                <w:sz w:val="19"/>
              </w:rPr>
              <w:t xml:space="preserve">a </w:t>
            </w:r>
          </w:p>
        </w:tc>
      </w:tr>
    </w:tbl>
    <w:p>
      <w:pPr>
        <w:pStyle w:val="Heading2"/>
        <w:bidi w:val="0"/>
        <w:jc w:val="start"/>
        <w:rPr/>
      </w:pPr>
      <w:r>
        <w:rPr/>
        <w:t xml:space="preserve">Discussion </w:t>
      </w:r>
    </w:p>
    <w:p>
      <w:pPr>
        <w:pStyle w:val="TextBody"/>
        <w:bidi w:val="0"/>
        <w:spacing w:before="0" w:after="283"/>
        <w:jc w:val="start"/>
        <w:rPr/>
      </w:pPr>
      <w:r>
        <w:rPr/>
        <w:t xml:space="preserve">The present data showed that administration of bosentan and losartan could decrease body weight significantly (P &lt;0. 05). The possible mechanism of both antagonists to reduce body weight, might be due to interfering RAS (Al-Thanoon, and Mahmood, 2012), because they act to decrease positive feedback between ET-1 and Ang II, which they are increases catabolic enzymes which are responsible on growth regulation (Giersbergen </w:t>
      </w:r>
      <w:r>
        <w:rPr>
          <w:rStyle w:val="Emphasis"/>
        </w:rPr>
        <w:t xml:space="preserve">et al. </w:t>
      </w:r>
      <w:r>
        <w:rPr/>
        <w:t xml:space="preserve">, 2002). Also, this study showed that (Table 4. 8) weight was significantly (P &lt;0. 05) decreased in 2K1C normotensive compared with sham group. It is for the first time we confirm the idea, which was believed that RAS is responsible on weight gain, as in normotensive rats have slow responsiveness to Ang II effects (Melaragno, andFink, 1996). </w:t>
      </w:r>
    </w:p>
    <w:p>
      <w:pPr>
        <w:pStyle w:val="TextBody"/>
        <w:bidi w:val="0"/>
        <w:spacing w:before="0" w:after="283"/>
        <w:jc w:val="start"/>
        <w:rPr/>
      </w:pPr>
      <w:r>
        <w:rPr/>
        <w:t xml:space="preserve">It is shown in the current study that reduction in blood flow through clipping renal artery could decrease the weight of left kidney in hypertensive rats. Neither bosentan nor losaratn administration restored the weight (Table 4. 9). One of the possible mechanisms of decreasing left kidney weight may be due to the reduction in supply of oxygen to the kidney cells and waste substances accumulation that lead to reduction in the tissue growth (Nathan and Singer, 1999). While, in normotensive rats left kidney weight significantly (P &lt;0. 05) greater than hypertensive rats. It means that another factor contributed in decreasing left kidney weight, but still not clear obvious (Table. 4. 9). </w:t>
      </w:r>
    </w:p>
    <w:p>
      <w:pPr>
        <w:pStyle w:val="TextBody"/>
        <w:bidi w:val="0"/>
        <w:spacing w:before="0" w:after="283"/>
        <w:jc w:val="start"/>
        <w:rPr/>
      </w:pPr>
      <w:r>
        <w:rPr/>
        <w:t xml:space="preserve">On the other hand, left renal artery constriction caused significant (P &lt;0. 05) increase in right kidney weight. It means that RAS, which was activated by clipping process of the left kidney has hypertrophic effects on right kidney, this data was in parallel with study of (Sporková </w:t>
      </w:r>
      <w:r>
        <w:rPr>
          <w:rStyle w:val="Emphasis"/>
        </w:rPr>
        <w:t xml:space="preserve">et al </w:t>
      </w:r>
      <w:r>
        <w:rPr/>
        <w:t xml:space="preserve">., 2011). Also, for the first time we showed that both Ang II and ET-1 are responsible for right kidney hypertrophy, because both bosentan and losartan administration orally every day could significantly (P &lt;0. 05) reduce right kidneys weight towards normal. </w:t>
      </w:r>
    </w:p>
    <w:p>
      <w:pPr>
        <w:pStyle w:val="TextBody"/>
        <w:bidi w:val="0"/>
        <w:spacing w:before="0" w:after="283"/>
        <w:jc w:val="start"/>
        <w:rPr/>
      </w:pPr>
      <w:r>
        <w:rPr/>
        <w:t xml:space="preserve">Furthermore, daily administration of bosentan markedly decreased liver weight. The reason behind that, is bosentan might cause liver injury as proven in our result, which were increased AST and decreased ALP activities in serum Gabbay, </w:t>
      </w:r>
      <w:r>
        <w:rPr>
          <w:rStyle w:val="Emphasis"/>
        </w:rPr>
        <w:t xml:space="preserve">et al </w:t>
      </w:r>
      <w:r>
        <w:rPr/>
        <w:t xml:space="preserve">. (2007). The exact reason of reduced liver weight is not well established yet, but according to our knowledge the mechanism may also be due to remove Ang II effects on liver cells through blocking AT </w:t>
      </w:r>
      <w:r>
        <w:rPr>
          <w:position w:val="-2"/>
          <w:sz w:val="19"/>
        </w:rPr>
        <w:t xml:space="preserve">1 </w:t>
      </w:r>
    </w:p>
    <w:p>
      <w:pPr>
        <w:pStyle w:val="TextBody"/>
        <w:bidi w:val="0"/>
        <w:spacing w:before="0" w:after="283"/>
        <w:jc w:val="start"/>
        <w:rPr/>
      </w:pPr>
      <w:r>
        <w:rPr/>
        <w:t xml:space="preserve">Water intake once a week was measured, when temperature and light cycle (12/12 h) controlled. The results showed that in week three losartan treatment caused a marked reduction in water intake. One hypothesis mechanism to interpret that, is losartan could pass blood-brain-barrier, block AT </w:t>
      </w:r>
      <w:r>
        <w:rPr>
          <w:position w:val="-2"/>
          <w:sz w:val="19"/>
        </w:rPr>
        <w:t xml:space="preserve">1 </w:t>
      </w:r>
      <w:r>
        <w:rPr/>
        <w:t xml:space="preserve">and then reduce in drinking response to intraventricular angiotensin II (Palmer </w:t>
      </w:r>
      <w:r>
        <w:rPr>
          <w:rStyle w:val="Emphasis"/>
        </w:rPr>
        <w:t xml:space="preserve">et al </w:t>
      </w:r>
      <w:r>
        <w:rPr/>
        <w:t xml:space="preserve">., 1994). Also, bosentan at weeks six caused significant decreases in water intake. But why losartan effects appeared at three weeks after surgery and bosentan effects observed at sixth week after surgery is not well established. However, one possible mechanism of this new finding is that their pharmacokinetics are different (Giersbergen </w:t>
      </w:r>
      <w:r>
        <w:rPr>
          <w:rStyle w:val="Emphasis"/>
        </w:rPr>
        <w:t xml:space="preserve">et al </w:t>
      </w:r>
      <w:r>
        <w:rPr/>
        <w:t xml:space="preserve">., 2002). Ang II and ET-1 receptor down regulations also might be involved in this mechanism, but also it needs further pharmacological studies to confirm it. </w:t>
      </w:r>
    </w:p>
    <w:p>
      <w:pPr>
        <w:pStyle w:val="TextBody"/>
        <w:bidi w:val="0"/>
        <w:spacing w:before="0" w:after="283"/>
        <w:jc w:val="start"/>
        <w:rPr/>
      </w:pPr>
      <w:r>
        <w:rPr/>
        <w:t xml:space="preserve">Although, reducing effects of bosentan and losartan on 2K1C hypertensive rats in food intake, were observed in the current results. The possible mechanism behind that is both of them may decrease the consequences of Ang II and ET-1 on hormones, which are related to glucose regulation and metabolism. In addition, food intake increased in normotensive rats, may be due to increasing hydrolytic enzymes, which required energy, for that it need organic molecules to produce energy, as performed in the food. This clearification is supporting our results as ALP is increased (Table 4. 3). Rat urine was collected for twenty four hours and then urine flow per minute was drawn out from that amount of urine. After comparison between groups, urine flow was slightly decreased in 2K1C </w:t>
      </w:r>
      <w:r>
        <w:rPr>
          <w:position w:val="-2"/>
          <w:sz w:val="19"/>
        </w:rPr>
        <w:t xml:space="preserve">(n) </w:t>
      </w:r>
      <w:r>
        <w:rPr/>
        <w:t xml:space="preserve">group, due to reducing effects of Ang II on pressure diuresis. Also, bosentan caused none significant reduction in urine flow. Possibly, this effect may be as the result of decreasing in water intake.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https://assignbuster.com/effects-of-bosentan-and-losartan-on-2k1c-hypertensive-rats/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Effects of bosentan and losartan on 2k1c...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s-of-bosentan-and-losartan-on-2k1c-hypertensive-ra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Effects of bosentan and losartan on 2k1c hypertensive rats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bosentan and losartan on 2k1c hypertensive rats</dc:title>
  <dc:subject>Others;</dc:subject>
  <dc:creator>AssignBuster</dc:creator>
  <cp:keywords/>
  <dc:description>The process of clipping for eight weeks on left renal artery caused a significant decrease in left kidney weight compared with sham group.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