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It is a duty on an import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It is obvious that both types of duties have their overlapping effects. A revenue duty, by increasing the import cost of an item, provides an advantage to its domestic producers. To that extent, therefore, it is also a protective duty. Similarly, a protective duty yields some tax revenue to the authorities and is, therefore, also a revenue duty. Therefore, in law and theory, the distinction between the revenue and protective duties is only the objective with which they are levied and not their impact. 3. Selective/Non-Selective: When the rate of duty on an item does not vary-with reference to its origin (in the case of an import item) or destination (in the case of an export item), it is termed a non-selective, non-discriminatory or a single column duty. In contrast, it is termed a selective, discriminatory or a double column duty if its rate varies with reference to its origin or destination, etc.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Retaliatory: These are import duties which are levied by a country in retaliation to duties levied on its export goods by country (countries) importing them. 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Countervailing: It is a duty on an import item for offsetting an export subsidy given by the country of its origin. It may also be levied to counteract its “ dumping” by its exporting country. It may also be levied counterbalance an excise duty on an import-competing domestically produced ‘ item. Essentially, this duty is meant for protecting domestic producers from unfair competition from abroad.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https://assignbuster.com/it-is-a-duty-on-an-import/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It is a duty on an import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t-is-a-duty-on-an-impor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 is a duty on an import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is a duty on an import</dc:title>
  <dc:subject>Others;</dc:subject>
  <dc:creator>AssignBuster</dc:creator>
  <cp:keywords/>
  <dc:description>Countervailing: It is a duty on an import item for offsetting an export subsidy given by the country of its origin.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