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Homoeopathic medicines against fruit rot of apple</w:t>
        </w:r>
      </w:hyperlink>
      <w:bookmarkEnd w:id="0"/>
    </w:p>
    <w:p>
      <w:r>
        <w:br w:type="page"/>
      </w:r>
    </w:p>
    <w:p>
      <w:pPr>
        <w:pStyle w:val="TextBody"/>
        <w:bidi w:val="0"/>
        <w:jc w:val="start"/>
        <w:rPr/>
      </w:pPr>
      <w:r>
        <w:rPr/>
        <w:t xml:space="preserve">Application of certain homoeopathic medicines used against fruit rot of apple caused by </w:t>
      </w:r>
      <w:r>
        <w:rPr>
          <w:rStyle w:val="Emphasis"/>
        </w:rPr>
        <w:t xml:space="preserve">Penicillium expansum </w:t>
      </w:r>
      <w:r>
        <w:rPr/>
        <w:t xml:space="preserve">Link. </w:t>
      </w:r>
    </w:p>
    <w:p>
      <w:pPr>
        <w:pStyle w:val="TextBody"/>
        <w:bidi w:val="0"/>
        <w:spacing w:before="0" w:after="283"/>
        <w:jc w:val="start"/>
        <w:rPr/>
      </w:pPr>
      <w:r>
        <w:rPr/>
        <w:t xml:space="preserve">Baviskar RNand Suryawanshi NS </w:t>
      </w:r>
    </w:p>
    <w:p>
      <w:pPr>
        <w:pStyle w:val="TextBody"/>
        <w:bidi w:val="0"/>
        <w:spacing w:before="0" w:after="283"/>
        <w:jc w:val="start"/>
        <w:rPr/>
      </w:pPr>
      <w:r>
        <w:rPr/>
        <w:t xml:space="preserve">ABSTRACT </w:t>
      </w:r>
    </w:p>
    <w:p>
      <w:pPr>
        <w:pStyle w:val="TextBody"/>
        <w:bidi w:val="0"/>
        <w:spacing w:before="0" w:after="283"/>
        <w:jc w:val="start"/>
        <w:rPr/>
      </w:pPr>
      <w:r>
        <w:rPr/>
        <w:t xml:space="preserve">Blue mold of apple caused by </w:t>
      </w:r>
      <w:r>
        <w:rPr>
          <w:rStyle w:val="Emphasis"/>
        </w:rPr>
        <w:t xml:space="preserve">Penicillium expansum </w:t>
      </w:r>
      <w:r>
        <w:rPr/>
        <w:t xml:space="preserve">is one of the most important serious destructive post harvest disease in India. Twenty three isolates of </w:t>
      </w:r>
      <w:r>
        <w:rPr>
          <w:rStyle w:val="Emphasis"/>
        </w:rPr>
        <w:t xml:space="preserve">Penicillium expansum </w:t>
      </w:r>
      <w:r>
        <w:rPr/>
        <w:t xml:space="preserve">were isolated from rotted fruits of apple collected from APMC fruit market of Vashi, Navi Mumbai. Their sensitivity was tested against carbendazim. It was found that Pe-9 was sensitive while pe-15 resistant. MIC values ranged from 750. 6-970. 3µg/ml. Sensitive isolate was selected for further studies and treated with chemical and physical mutagens and resistant mutant of </w:t>
      </w:r>
      <w:r>
        <w:rPr>
          <w:rStyle w:val="Emphasis"/>
        </w:rPr>
        <w:t xml:space="preserve">P. expansum </w:t>
      </w:r>
      <w:r>
        <w:rPr/>
        <w:t xml:space="preserve">(Pe-EMS-10) was found (4850. 6g/ml). Of 13 homoeopathic medicines were used for the management of carbendazim resistant mutant of </w:t>
      </w:r>
      <w:r>
        <w:rPr>
          <w:rStyle w:val="Emphasis"/>
        </w:rPr>
        <w:t xml:space="preserve">Penicillium expansum </w:t>
      </w:r>
      <w:r>
        <w:rPr/>
        <w:t xml:space="preserve">(EMS-Pe-10). </w:t>
      </w:r>
      <w:r>
        <w:rPr>
          <w:rStyle w:val="Emphasis"/>
        </w:rPr>
        <w:t xml:space="preserve">Sepia officinale </w:t>
      </w:r>
      <w:r>
        <w:rPr/>
        <w:t xml:space="preserve">was more effective PCE value (40. 42) when used individually and in mixture with carbendazim PCE value was increased as compared to individual (53. 25) and followed by </w:t>
      </w:r>
      <w:r>
        <w:rPr>
          <w:rStyle w:val="Emphasis"/>
        </w:rPr>
        <w:t xml:space="preserve">Arsenicum album, Tabacum, Cynopodium, Baptisia tinctoria, Ustilago maydis, Iris versicolor, Zincum metallicum </w:t>
      </w:r>
      <w:r>
        <w:rPr/>
        <w:t xml:space="preserve">and </w:t>
      </w:r>
      <w:r>
        <w:rPr>
          <w:rStyle w:val="Emphasis"/>
        </w:rPr>
        <w:t xml:space="preserve">Argentum metallicum. </w:t>
      </w:r>
    </w:p>
    <w:p>
      <w:pPr>
        <w:pStyle w:val="TextBody"/>
        <w:bidi w:val="0"/>
        <w:spacing w:before="0" w:after="283"/>
        <w:jc w:val="start"/>
        <w:rPr/>
      </w:pPr>
      <w:r>
        <w:rPr/>
        <w:t xml:space="preserve">Key words: Apple, Blue mould, </w:t>
      </w:r>
      <w:r>
        <w:rPr>
          <w:rStyle w:val="Emphasis"/>
        </w:rPr>
        <w:t xml:space="preserve">Penicillium expansum </w:t>
      </w:r>
      <w:r>
        <w:rPr/>
        <w:t xml:space="preserve">, Homoeopathic medicines, Carbendazim. </w:t>
      </w:r>
    </w:p>
    <w:p>
      <w:pPr>
        <w:pStyle w:val="TextBody"/>
        <w:bidi w:val="0"/>
        <w:spacing w:before="0" w:after="283"/>
        <w:jc w:val="start"/>
        <w:rPr/>
      </w:pPr>
      <w:r>
        <w:rPr/>
        <w:t xml:space="preserve">INTRODUCTION </w:t>
      </w:r>
    </w:p>
    <w:p>
      <w:pPr>
        <w:pStyle w:val="TextBody"/>
        <w:bidi w:val="0"/>
        <w:spacing w:before="0" w:after="283"/>
        <w:jc w:val="start"/>
        <w:rPr/>
      </w:pPr>
      <w:r>
        <w:rPr/>
        <w:t xml:space="preserve">Blue mould of apple ( </w:t>
      </w:r>
      <w:r>
        <w:rPr>
          <w:rStyle w:val="Emphasis"/>
        </w:rPr>
        <w:t xml:space="preserve">Pyrus malus </w:t>
      </w:r>
      <w:r>
        <w:rPr/>
        <w:t xml:space="preserve">L.) caused by </w:t>
      </w:r>
      <w:r>
        <w:rPr>
          <w:rStyle w:val="Emphasis"/>
        </w:rPr>
        <w:t xml:space="preserve">Penicillium expansum </w:t>
      </w:r>
      <w:r>
        <w:rPr/>
        <w:t xml:space="preserve">is one of the most important post harvest disease. Apple plays a vital role in human diet by supplying the necessary nutritional components such as vitamins and minerals that can help to keep a good state of health. It contain high level of sugar, minerals and nutrient elements and their low pH value make them susceptible for fungal attack and are being rotten (Singh and Sharma, 2007). Fungi not only cause rot to a number of fruits but also reduce their market values (Arya, 2004). Some fungal pathogens viz. Colletotrichum acutatum, </w:t>
      </w:r>
      <w:r>
        <w:rPr>
          <w:rStyle w:val="Emphasis"/>
        </w:rPr>
        <w:t xml:space="preserve">Venturia inaequalis, Monilinia fructicola , Botrytis cinerea, Alternaria alternata, Aspergillus fumigates A. flavus, Sclerotina fructigena, Rhizopus stolonifer, Mucor piriformis </w:t>
      </w:r>
      <w:r>
        <w:rPr/>
        <w:t xml:space="preserve">and </w:t>
      </w:r>
      <w:r>
        <w:rPr>
          <w:rStyle w:val="Emphasis"/>
        </w:rPr>
        <w:t xml:space="preserve">Penicillium expansum </w:t>
      </w:r>
      <w:r>
        <w:rPr/>
        <w:t xml:space="preserve">on apple was reported during the transportation and storage condition. Among the pathogens </w:t>
      </w:r>
      <w:r>
        <w:rPr>
          <w:rStyle w:val="Emphasis"/>
        </w:rPr>
        <w:t xml:space="preserve">Penicillium expansum </w:t>
      </w:r>
      <w:r>
        <w:rPr/>
        <w:t xml:space="preserve">was more serious and dominant in the store houses of local and central fruit market of Navi Mumbai, APMC Fruit Market, Vashi in packing boxes noticed damages of apple. 20-25% losses of the post harvested fruits are decayed by certain fungal pathogens during post harvest handling even in developed countries (Al-Hindi </w:t>
      </w:r>
      <w:r>
        <w:rPr>
          <w:rStyle w:val="Emphasis"/>
        </w:rPr>
        <w:t xml:space="preserve">et . al., </w:t>
      </w:r>
      <w:r>
        <w:rPr/>
        <w:t xml:space="preserve">2011). </w:t>
      </w:r>
    </w:p>
    <w:p>
      <w:pPr>
        <w:pStyle w:val="TextBody"/>
        <w:bidi w:val="0"/>
        <w:spacing w:before="0" w:after="283"/>
        <w:jc w:val="start"/>
        <w:rPr/>
      </w:pPr>
      <w:r>
        <w:rPr/>
        <w:t xml:space="preserve">Carbendazim is recommended to manage various fruit rot of pathogens during post harvest. Fungicides resistance few cases have been reported in India and abroad (Chander and Thind, 1995; Gangawane and Reddy, 1987; Gangawane, 2008). Apple growers rely heavily on the use of fungicides for control of fruit rot of apple. Excessive use of carbendazim was harmful to apple fruit as well as </w:t>
      </w:r>
      <w:r>
        <w:rPr>
          <w:rStyle w:val="Emphasis"/>
        </w:rPr>
        <w:t xml:space="preserve">Penicillium expansum </w:t>
      </w:r>
      <w:r>
        <w:rPr/>
        <w:t xml:space="preserve">. Therefore, substitute for carbendazim presently suggested that the use of homeopathic medicines to control various pathogens was highly effective and safe for fruit and environment. Inhibitory effect of homoeopathic drugs such as </w:t>
      </w:r>
      <w:r>
        <w:rPr>
          <w:rStyle w:val="Emphasis"/>
        </w:rPr>
        <w:t xml:space="preserve">Lycopodium, Thuja, Arsenicum, Zincum </w:t>
      </w:r>
      <w:r>
        <w:rPr/>
        <w:t xml:space="preserve">etc. against </w:t>
      </w:r>
      <w:r>
        <w:rPr>
          <w:rStyle w:val="Emphasis"/>
        </w:rPr>
        <w:t xml:space="preserve">Alternaria alternata, Fusarium moniliforme, Gloeosporium psidii, Colletotrichum gloeosporioides </w:t>
      </w:r>
      <w:r>
        <w:rPr/>
        <w:t xml:space="preserve">and </w:t>
      </w:r>
      <w:r>
        <w:rPr>
          <w:rStyle w:val="Emphasis"/>
        </w:rPr>
        <w:t xml:space="preserve">Pestalotia sp </w:t>
      </w:r>
      <w:r>
        <w:rPr/>
        <w:t xml:space="preserve">. and certain fruit rot pathogens have been reported by(Khanna and Chandra, 1989 and 1992; Chandra </w:t>
      </w:r>
      <w:r>
        <w:rPr>
          <w:rStyle w:val="Emphasis"/>
        </w:rPr>
        <w:t xml:space="preserve">et. al </w:t>
      </w:r>
      <w:r>
        <w:rPr/>
        <w:t xml:space="preserve">., 1981; Wilson </w:t>
      </w:r>
      <w:r>
        <w:rPr>
          <w:rStyle w:val="Emphasis"/>
        </w:rPr>
        <w:t xml:space="preserve">et. al </w:t>
      </w:r>
      <w:r>
        <w:rPr/>
        <w:t xml:space="preserve">., 1991). The present investigation showed that the effect of homoeopathic medicines i. e. </w:t>
      </w:r>
      <w:r>
        <w:rPr>
          <w:rStyle w:val="Emphasis"/>
        </w:rPr>
        <w:t xml:space="preserve">sepia officinale </w:t>
      </w:r>
      <w:r>
        <w:rPr/>
        <w:t xml:space="preserve">was fruitful PCE (40. 42) value individually and in mixture with carbendazim PCE value increased upto 53. 25.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Homoeopathic medicines viz; </w:t>
      </w:r>
      <w:r>
        <w:rPr>
          <w:rStyle w:val="Emphasis"/>
        </w:rPr>
        <w:t xml:space="preserve">Belladonna, Tabacum, Thuja occidentalis, Argentum metallicum, Sepia officinale, Lycopodium clavatum, Ustilago maydis, Iris versicolor, Cynopodium, Zincum metallicum, Arsenicum album, Baptisia tinctoria </w:t>
      </w:r>
      <w:r>
        <w:rPr/>
        <w:t xml:space="preserve">and </w:t>
      </w:r>
      <w:r>
        <w:rPr>
          <w:rStyle w:val="Emphasis"/>
        </w:rPr>
        <w:t xml:space="preserve">Teucrium marum verum </w:t>
      </w:r>
      <w:r>
        <w:rPr/>
        <w:t xml:space="preserve">etc. was purchased from wholesale market of Vashi. Potency (200) of all these medicines was used. The antifungal homoeopathic medicines were tested individually and in mixture with carbendazim (970. 3µg/ml) against mycelial growth of carbendazim resistant mutant (Pe-EMS-10) of </w:t>
      </w:r>
      <w:r>
        <w:rPr>
          <w:rStyle w:val="Emphasis"/>
        </w:rPr>
        <w:t xml:space="preserve">Penicillium expansum </w:t>
      </w:r>
      <w:r>
        <w:rPr/>
        <w:t xml:space="preserve">using potato dextrose agar (PDA) medium by food poisoning method (Nene and Thapliyal, 1982). Percentage Control Efficacy (PCE) was determined using formula. </w:t>
      </w:r>
    </w:p>
    <w:p>
      <w:pPr>
        <w:pStyle w:val="TextBody"/>
        <w:bidi w:val="0"/>
        <w:spacing w:before="0" w:after="283"/>
        <w:jc w:val="start"/>
        <w:rPr/>
      </w:pPr>
      <w:r>
        <w:rPr/>
        <w:t xml:space="preserve">C-T </w:t>
      </w:r>
    </w:p>
    <w:p>
      <w:pPr>
        <w:pStyle w:val="TextBody"/>
        <w:bidi w:val="0"/>
        <w:spacing w:before="0" w:after="283"/>
        <w:jc w:val="start"/>
        <w:rPr/>
      </w:pPr>
      <w:r>
        <w:rPr/>
        <w:t xml:space="preserve">PCE = ———— X 100 </w:t>
      </w:r>
    </w:p>
    <w:p>
      <w:pPr>
        <w:pStyle w:val="TextBody"/>
        <w:bidi w:val="0"/>
        <w:spacing w:before="0" w:after="283"/>
        <w:jc w:val="start"/>
        <w:rPr/>
      </w:pPr>
      <w:r>
        <w:rPr/>
        <w:t xml:space="preserve">T </w:t>
      </w:r>
    </w:p>
    <w:p>
      <w:pPr>
        <w:pStyle w:val="TextBody"/>
        <w:bidi w:val="0"/>
        <w:spacing w:before="0" w:after="283"/>
        <w:jc w:val="start"/>
        <w:rPr/>
      </w:pPr>
      <w:r>
        <w:rPr/>
        <w:t xml:space="preserve">Where, C – Mycelial Growth in Control </w:t>
      </w:r>
    </w:p>
    <w:p>
      <w:pPr>
        <w:pStyle w:val="TextBody"/>
        <w:bidi w:val="0"/>
        <w:spacing w:before="0" w:after="283"/>
        <w:jc w:val="start"/>
        <w:rPr/>
      </w:pPr>
      <w:r>
        <w:rPr/>
        <w:t xml:space="preserve">T – Mycelial Growth in Treated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Results are present in (Table. 1) observed that thirteen homoeopathic medicines were used for the management of carbendazim resistant mutant (Pe-EMS-10) of </w:t>
      </w:r>
      <w:r>
        <w:rPr>
          <w:rStyle w:val="Emphasis"/>
        </w:rPr>
        <w:t xml:space="preserve">Penicillium expansum. </w:t>
      </w:r>
      <w:r>
        <w:rPr/>
        <w:t xml:space="preserve">It was seen that all homoeopathic medicines were inhibitory against </w:t>
      </w:r>
      <w:r>
        <w:rPr>
          <w:rStyle w:val="Emphasis"/>
        </w:rPr>
        <w:t xml:space="preserve">Penicillium expansum </w:t>
      </w:r>
      <w:r>
        <w:rPr/>
        <w:t xml:space="preserve">. </w:t>
      </w:r>
      <w:r>
        <w:rPr>
          <w:rStyle w:val="Emphasis"/>
        </w:rPr>
        <w:t xml:space="preserve">Sepia officinale </w:t>
      </w:r>
      <w:r>
        <w:rPr/>
        <w:t xml:space="preserve">showed significantly increased PCE (40. 42) individually and followed by </w:t>
      </w:r>
      <w:r>
        <w:rPr>
          <w:rStyle w:val="Emphasis"/>
        </w:rPr>
        <w:t xml:space="preserve">Arsenicum album </w:t>
      </w:r>
      <w:r>
        <w:rPr/>
        <w:t xml:space="preserve">(38. 75), </w:t>
      </w:r>
      <w:r>
        <w:rPr>
          <w:rStyle w:val="Emphasis"/>
        </w:rPr>
        <w:t xml:space="preserve">Tabacum </w:t>
      </w:r>
      <w:r>
        <w:rPr/>
        <w:t xml:space="preserve">(38. 56), </w:t>
      </w:r>
      <w:r>
        <w:rPr>
          <w:rStyle w:val="Emphasis"/>
        </w:rPr>
        <w:t xml:space="preserve">Cynopodium </w:t>
      </w:r>
      <w:r>
        <w:rPr/>
        <w:t xml:space="preserve">(38. 00), </w:t>
      </w:r>
      <w:r>
        <w:rPr>
          <w:rStyle w:val="Emphasis"/>
        </w:rPr>
        <w:t xml:space="preserve">Baptisia tinctoria </w:t>
      </w:r>
      <w:r>
        <w:rPr/>
        <w:t xml:space="preserve">(36. 58), </w:t>
      </w:r>
      <w:r>
        <w:rPr>
          <w:rStyle w:val="Emphasis"/>
        </w:rPr>
        <w:t xml:space="preserve">Ustilago maydis </w:t>
      </w:r>
      <w:r>
        <w:rPr/>
        <w:t xml:space="preserve">(36. 56), </w:t>
      </w:r>
      <w:r>
        <w:rPr>
          <w:rStyle w:val="Emphasis"/>
        </w:rPr>
        <w:t xml:space="preserve">Iris versicolor </w:t>
      </w:r>
      <w:r>
        <w:rPr/>
        <w:t xml:space="preserve">(36. 32), </w:t>
      </w:r>
      <w:r>
        <w:rPr>
          <w:rStyle w:val="Emphasis"/>
        </w:rPr>
        <w:t xml:space="preserve">Zincum metallicum </w:t>
      </w:r>
      <w:r>
        <w:rPr/>
        <w:t xml:space="preserve">(34. 80), </w:t>
      </w:r>
      <w:r>
        <w:rPr>
          <w:rStyle w:val="Emphasis"/>
        </w:rPr>
        <w:t xml:space="preserve">Argentum metallicum </w:t>
      </w:r>
      <w:r>
        <w:rPr/>
        <w:t xml:space="preserve">(32. 58) and four homoeopathic medicines showed PCE 20. 72-30. 58 individually. In other hand all 13 homoeopathic medicines were mixed with carbendazim PCE against </w:t>
      </w:r>
      <w:r>
        <w:rPr>
          <w:rStyle w:val="Emphasis"/>
        </w:rPr>
        <w:t xml:space="preserve">penicillium expansum </w:t>
      </w:r>
      <w:r>
        <w:rPr/>
        <w:t xml:space="preserve">was increased. </w:t>
      </w:r>
      <w:r>
        <w:rPr>
          <w:rStyle w:val="Emphasis"/>
        </w:rPr>
        <w:t xml:space="preserve">Sepia officinale </w:t>
      </w:r>
      <w:r>
        <w:rPr/>
        <w:t xml:space="preserve">mix with carbendazim the PCE (53. 25) value increased as compared to individual PCE value. The lowest PCE (35. 85) was observed in </w:t>
      </w:r>
      <w:r>
        <w:rPr>
          <w:rStyle w:val="Emphasis"/>
        </w:rPr>
        <w:t xml:space="preserve">Belladonna </w:t>
      </w:r>
      <w:r>
        <w:rPr/>
        <w:t xml:space="preserve">and followed by other homoeopathic medicines which showed values of PCE more than 52. 65. There are few reports on the use of homoeopathic medicines against plant pathogens correlate with other researcher. (Dahiwale and Suryawanshi, 2010) observed that fruit rot of pomegranate caused by </w:t>
      </w:r>
      <w:r>
        <w:rPr>
          <w:rStyle w:val="Emphasis"/>
        </w:rPr>
        <w:t xml:space="preserve">Alternaria alternata </w:t>
      </w:r>
      <w:r>
        <w:rPr/>
        <w:t xml:space="preserve">is one of the most important post harvest diseases. It was revealed that certain homoeopathic medicines were inhibitory against </w:t>
      </w:r>
      <w:r>
        <w:rPr>
          <w:rStyle w:val="Emphasis"/>
        </w:rPr>
        <w:t xml:space="preserve">A. alternata </w:t>
      </w:r>
      <w:r>
        <w:rPr/>
        <w:t xml:space="preserve">(Dahiwale and Suryawanshi, 2014) also revealed that the control of grey mould of grape caused by </w:t>
      </w:r>
      <w:r>
        <w:rPr>
          <w:rStyle w:val="Emphasis"/>
        </w:rPr>
        <w:t xml:space="preserve">Botrytis cinerea </w:t>
      </w:r>
      <w:r>
        <w:rPr/>
        <w:t xml:space="preserve">using homoeopathic medicine. Fruit rot of strawberry caused by </w:t>
      </w:r>
      <w:r>
        <w:rPr>
          <w:rStyle w:val="Emphasis"/>
        </w:rPr>
        <w:t xml:space="preserve">Alternaria alternata </w:t>
      </w:r>
      <w:r>
        <w:rPr/>
        <w:t xml:space="preserve">control using homoeopathic medicines. </w:t>
      </w:r>
      <w:r>
        <w:rPr>
          <w:rStyle w:val="Emphasis"/>
        </w:rPr>
        <w:t xml:space="preserve">Nux vomica </w:t>
      </w:r>
      <w:r>
        <w:rPr/>
        <w:t xml:space="preserve">shows higher PCE (50) when used individually while Sulphur 30 CH was effective showing maximum PCE (84. 45) when used in mixture with mancozeb and followed by </w:t>
      </w:r>
      <w:r>
        <w:rPr>
          <w:rStyle w:val="Emphasis"/>
        </w:rPr>
        <w:t xml:space="preserve">Cina, Rhus toxicodendron, Arnica montana, Sanguinaria canadensis, Tarentula hispana </w:t>
      </w:r>
      <w:r>
        <w:rPr/>
        <w:t xml:space="preserve">and </w:t>
      </w:r>
      <w:r>
        <w:rPr>
          <w:rStyle w:val="Emphasis"/>
        </w:rPr>
        <w:t xml:space="preserve">Selenium </w:t>
      </w:r>
      <w:r>
        <w:rPr/>
        <w:t xml:space="preserve">(Patil and Suryawanshi , 2014). </w:t>
      </w:r>
    </w:p>
    <w:p>
      <w:pPr>
        <w:pStyle w:val="TextBody"/>
        <w:bidi w:val="0"/>
        <w:spacing w:before="0" w:after="283"/>
        <w:jc w:val="start"/>
        <w:rPr/>
      </w:pPr>
      <w:r>
        <w:rPr/>
        <w:t xml:space="preserve">Table 1: Percentage Control Efficacy (PCE) of carbendazim individually and in mixture with homoeopathic medicines against resistant mutant of </w:t>
      </w:r>
      <w:r>
        <w:rPr>
          <w:rStyle w:val="Emphasis"/>
        </w:rPr>
        <w:t xml:space="preserve">Penicillium expansum </w:t>
      </w:r>
      <w:r>
        <w:rPr/>
        <w:t xml:space="preserve">on PDA medium. </w:t>
      </w:r>
    </w:p>
    <w:tbl>
      <w:tblPr>
        <w:tblW w:w="4444" w:type="dxa"/>
        <w:jc w:val="start"/>
        <w:tblInd w:w="0" w:type="dxa"/>
        <w:tblLayout w:type="fixed"/>
        <w:tblCellMar>
          <w:top w:w="28" w:type="dxa"/>
          <w:start w:w="28" w:type="dxa"/>
          <w:bottom w:w="28" w:type="dxa"/>
          <w:end w:w="28" w:type="dxa"/>
        </w:tblCellMar>
      </w:tblPr>
      <w:tblGrid>
        <w:gridCol w:w="481"/>
        <w:gridCol w:w="1501"/>
        <w:gridCol w:w="1051"/>
        <w:gridCol w:w="1411"/>
      </w:tblGrid>
      <w:tr>
        <w:trPr/>
        <w:tc>
          <w:tcPr>
            <w:tcW w:w="481" w:type="dxa"/>
            <w:tcBorders/>
            <w:vAlign w:val="center"/>
          </w:tcPr>
          <w:p>
            <w:pPr>
              <w:pStyle w:val="TableContents"/>
              <w:bidi w:val="0"/>
              <w:jc w:val="start"/>
              <w:rPr/>
            </w:pPr>
            <w:r>
              <w:rPr/>
              <w:t xml:space="preserve">Sr. </w:t>
            </w:r>
          </w:p>
          <w:p>
            <w:pPr>
              <w:pStyle w:val="TableContents"/>
              <w:bidi w:val="0"/>
              <w:spacing w:before="0" w:after="283"/>
              <w:jc w:val="start"/>
              <w:rPr/>
            </w:pPr>
            <w:r>
              <w:rPr/>
              <w:t xml:space="preserve">No. </w:t>
            </w:r>
          </w:p>
        </w:tc>
        <w:tc>
          <w:tcPr>
            <w:tcW w:w="1501" w:type="dxa"/>
            <w:tcBorders/>
            <w:vAlign w:val="center"/>
          </w:tcPr>
          <w:p>
            <w:pPr>
              <w:pStyle w:val="TableContents"/>
              <w:bidi w:val="0"/>
              <w:spacing w:before="0" w:after="0"/>
              <w:jc w:val="start"/>
              <w:rPr/>
            </w:pPr>
            <w:r>
              <w:rPr/>
              <w:t xml:space="preserve">Homoeopathic medicines </w:t>
            </w:r>
          </w:p>
          <w:tbl>
            <w:tblPr>
              <w:tblW w:w="1445" w:type="dxa"/>
              <w:jc w:val="start"/>
              <w:tblInd w:w="0" w:type="dxa"/>
              <w:tblLayout w:type="fixed"/>
              <w:tblCellMar>
                <w:top w:w="28" w:type="dxa"/>
                <w:start w:w="28" w:type="dxa"/>
                <w:bottom w:w="28" w:type="dxa"/>
                <w:end w:w="28" w:type="dxa"/>
              </w:tblCellMar>
            </w:tblPr>
            <w:tblGrid>
              <w:gridCol w:w="1445"/>
            </w:tblGrid>
            <w:tr>
              <w:trPr/>
              <w:tc>
                <w:tcPr>
                  <w:tcW w:w="1445" w:type="dxa"/>
                  <w:tcBorders/>
                  <w:vAlign w:val="center"/>
                </w:tcPr>
                <w:p>
                  <w:pPr>
                    <w:pStyle w:val="TableContents"/>
                    <w:bidi w:val="0"/>
                    <w:spacing w:before="0" w:after="283"/>
                    <w:jc w:val="start"/>
                    <w:rPr/>
                  </w:pPr>
                  <w:r>
                    <w:rPr/>
                    <w:t xml:space="preserve">Percentage Control Efficacy * </w:t>
                  </w:r>
                </w:p>
              </w:tc>
            </w:tr>
          </w:tbl>
          <w:p>
            <w:pPr>
              <w:pStyle w:val="TableContents"/>
              <w:bidi w:val="0"/>
              <w:spacing w:before="0" w:after="283"/>
              <w:jc w:val="start"/>
              <w:rPr/>
            </w:pPr>
            <w:r>
              <w:rPr/>
            </w:r>
          </w:p>
        </w:tc>
        <w:tc>
          <w:tcPr>
            <w:tcW w:w="1051" w:type="dxa"/>
            <w:tcBorders/>
            <w:vAlign w:val="center"/>
          </w:tcPr>
          <w:p>
            <w:pPr>
              <w:pStyle w:val="TableContents"/>
              <w:bidi w:val="0"/>
              <w:spacing w:before="0" w:after="283"/>
              <w:jc w:val="start"/>
              <w:rPr>
                <w:sz w:val="4"/>
                <w:szCs w:val="4"/>
              </w:rPr>
            </w:pPr>
            <w:r>
              <w:rPr>
                <w:sz w:val="4"/>
                <w:szCs w:val="4"/>
              </w:rPr>
            </w:r>
          </w:p>
        </w:tc>
        <w:tc>
          <w:tcPr>
            <w:tcW w:w="1411" w:type="dxa"/>
            <w:tcBorders/>
          </w:tcPr>
          <w:p>
            <w:pPr>
              <w:pStyle w:val="TableContents"/>
              <w:bidi w:val="0"/>
              <w:spacing w:before="0" w:after="283"/>
              <w:jc w:val="start"/>
              <w:rPr>
                <w:sz w:val="4"/>
                <w:szCs w:val="4"/>
              </w:rPr>
            </w:pPr>
            <w:r>
              <w:rPr>
                <w:sz w:val="4"/>
                <w:szCs w:val="4"/>
              </w:rPr>
            </w:r>
          </w:p>
        </w:tc>
      </w:tr>
      <w:tr>
        <w:trPr/>
        <w:tc>
          <w:tcPr>
            <w:tcW w:w="481" w:type="dxa"/>
            <w:tcBorders/>
            <w:vAlign w:val="center"/>
          </w:tcPr>
          <w:p>
            <w:pPr>
              <w:pStyle w:val="TableContents"/>
              <w:bidi w:val="0"/>
              <w:spacing w:before="0" w:after="283"/>
              <w:jc w:val="start"/>
              <w:rPr>
                <w:sz w:val="4"/>
                <w:szCs w:val="4"/>
              </w:rPr>
            </w:pPr>
            <w:r>
              <w:rPr>
                <w:sz w:val="4"/>
                <w:szCs w:val="4"/>
              </w:rPr>
            </w:r>
          </w:p>
        </w:tc>
        <w:tc>
          <w:tcPr>
            <w:tcW w:w="1501" w:type="dxa"/>
            <w:tcBorders/>
            <w:vAlign w:val="center"/>
          </w:tcPr>
          <w:p>
            <w:pPr>
              <w:pStyle w:val="TableContents"/>
              <w:bidi w:val="0"/>
              <w:spacing w:before="0" w:after="283"/>
              <w:jc w:val="start"/>
              <w:rPr>
                <w:sz w:val="4"/>
                <w:szCs w:val="4"/>
              </w:rPr>
            </w:pPr>
            <w:r>
              <w:rPr>
                <w:sz w:val="4"/>
                <w:szCs w:val="4"/>
              </w:rPr>
            </w:r>
          </w:p>
        </w:tc>
        <w:tc>
          <w:tcPr>
            <w:tcW w:w="1051" w:type="dxa"/>
            <w:tcBorders/>
            <w:vAlign w:val="center"/>
          </w:tcPr>
          <w:p>
            <w:pPr>
              <w:pStyle w:val="TableContents"/>
              <w:bidi w:val="0"/>
              <w:spacing w:before="0" w:after="283"/>
              <w:jc w:val="start"/>
              <w:rPr/>
            </w:pPr>
            <w:r>
              <w:rPr/>
              <w:t xml:space="preserve">PCE individual </w:t>
            </w:r>
          </w:p>
        </w:tc>
        <w:tc>
          <w:tcPr>
            <w:tcW w:w="1411" w:type="dxa"/>
            <w:tcBorders/>
            <w:vAlign w:val="center"/>
          </w:tcPr>
          <w:p>
            <w:pPr>
              <w:pStyle w:val="TableContents"/>
              <w:bidi w:val="0"/>
              <w:jc w:val="start"/>
              <w:rPr/>
            </w:pPr>
            <w:r>
              <w:rPr/>
              <w:t xml:space="preserve">PCE mixture With </w:t>
            </w:r>
          </w:p>
          <w:p>
            <w:pPr>
              <w:pStyle w:val="TableContents"/>
              <w:bidi w:val="0"/>
              <w:spacing w:before="0" w:after="283"/>
              <w:jc w:val="start"/>
              <w:rPr/>
            </w:pPr>
            <w:r>
              <w:rPr/>
              <w:t xml:space="preserve">Carbendazim </w:t>
            </w:r>
          </w:p>
        </w:tc>
      </w:tr>
      <w:tr>
        <w:trPr/>
        <w:tc>
          <w:tcPr>
            <w:tcW w:w="481" w:type="dxa"/>
            <w:tcBorders/>
            <w:vAlign w:val="center"/>
          </w:tcPr>
          <w:p>
            <w:pPr>
              <w:pStyle w:val="TableContents"/>
              <w:bidi w:val="0"/>
              <w:spacing w:before="0" w:after="283"/>
              <w:jc w:val="start"/>
              <w:rPr/>
            </w:pPr>
            <w:r>
              <w:rPr/>
              <w:t xml:space="preserve">1. </w:t>
            </w:r>
          </w:p>
        </w:tc>
        <w:tc>
          <w:tcPr>
            <w:tcW w:w="1501" w:type="dxa"/>
            <w:tcBorders/>
            <w:vAlign w:val="center"/>
          </w:tcPr>
          <w:p>
            <w:pPr>
              <w:pStyle w:val="TableContents"/>
              <w:bidi w:val="0"/>
              <w:spacing w:before="0" w:after="283"/>
              <w:jc w:val="start"/>
              <w:rPr/>
            </w:pPr>
            <w:r>
              <w:rPr>
                <w:rStyle w:val="Emphasis"/>
              </w:rPr>
              <w:t xml:space="preserve">Belladonna </w:t>
            </w:r>
          </w:p>
        </w:tc>
        <w:tc>
          <w:tcPr>
            <w:tcW w:w="1051" w:type="dxa"/>
            <w:tcBorders/>
            <w:vAlign w:val="center"/>
          </w:tcPr>
          <w:p>
            <w:pPr>
              <w:pStyle w:val="TableContents"/>
              <w:bidi w:val="0"/>
              <w:spacing w:before="0" w:after="283"/>
              <w:jc w:val="start"/>
              <w:rPr/>
            </w:pPr>
            <w:r>
              <w:rPr/>
              <w:t xml:space="preserve">20. 72 </w:t>
            </w:r>
          </w:p>
        </w:tc>
        <w:tc>
          <w:tcPr>
            <w:tcW w:w="1411" w:type="dxa"/>
            <w:tcBorders/>
            <w:vAlign w:val="center"/>
          </w:tcPr>
          <w:p>
            <w:pPr>
              <w:pStyle w:val="TableContents"/>
              <w:bidi w:val="0"/>
              <w:spacing w:before="0" w:after="283"/>
              <w:jc w:val="start"/>
              <w:rPr/>
            </w:pPr>
            <w:r>
              <w:rPr/>
              <w:t xml:space="preserve">35. 85 </w:t>
            </w:r>
          </w:p>
        </w:tc>
      </w:tr>
      <w:tr>
        <w:trPr/>
        <w:tc>
          <w:tcPr>
            <w:tcW w:w="481" w:type="dxa"/>
            <w:tcBorders/>
            <w:vAlign w:val="center"/>
          </w:tcPr>
          <w:p>
            <w:pPr>
              <w:pStyle w:val="TableContents"/>
              <w:bidi w:val="0"/>
              <w:spacing w:before="0" w:after="283"/>
              <w:jc w:val="start"/>
              <w:rPr/>
            </w:pPr>
            <w:r>
              <w:rPr/>
              <w:t xml:space="preserve">2. </w:t>
            </w:r>
          </w:p>
        </w:tc>
        <w:tc>
          <w:tcPr>
            <w:tcW w:w="1501" w:type="dxa"/>
            <w:tcBorders/>
            <w:vAlign w:val="center"/>
          </w:tcPr>
          <w:p>
            <w:pPr>
              <w:pStyle w:val="TableContents"/>
              <w:bidi w:val="0"/>
              <w:spacing w:before="0" w:after="283"/>
              <w:jc w:val="start"/>
              <w:rPr/>
            </w:pPr>
            <w:r>
              <w:rPr>
                <w:rStyle w:val="Emphasis"/>
              </w:rPr>
              <w:t xml:space="preserve">Tabacum </w:t>
            </w:r>
          </w:p>
        </w:tc>
        <w:tc>
          <w:tcPr>
            <w:tcW w:w="1051" w:type="dxa"/>
            <w:tcBorders/>
            <w:vAlign w:val="center"/>
          </w:tcPr>
          <w:p>
            <w:pPr>
              <w:pStyle w:val="TableContents"/>
              <w:bidi w:val="0"/>
              <w:spacing w:before="0" w:after="283"/>
              <w:jc w:val="start"/>
              <w:rPr/>
            </w:pPr>
            <w:r>
              <w:rPr/>
              <w:t xml:space="preserve">38. 56 </w:t>
            </w:r>
          </w:p>
        </w:tc>
        <w:tc>
          <w:tcPr>
            <w:tcW w:w="1411" w:type="dxa"/>
            <w:tcBorders/>
            <w:vAlign w:val="center"/>
          </w:tcPr>
          <w:p>
            <w:pPr>
              <w:pStyle w:val="TableContents"/>
              <w:bidi w:val="0"/>
              <w:spacing w:before="0" w:after="283"/>
              <w:jc w:val="start"/>
              <w:rPr/>
            </w:pPr>
            <w:r>
              <w:rPr/>
              <w:t xml:space="preserve">52. 52 </w:t>
            </w:r>
          </w:p>
        </w:tc>
      </w:tr>
      <w:tr>
        <w:trPr/>
        <w:tc>
          <w:tcPr>
            <w:tcW w:w="481" w:type="dxa"/>
            <w:tcBorders/>
            <w:vAlign w:val="center"/>
          </w:tcPr>
          <w:p>
            <w:pPr>
              <w:pStyle w:val="TableContents"/>
              <w:bidi w:val="0"/>
              <w:spacing w:before="0" w:after="283"/>
              <w:jc w:val="start"/>
              <w:rPr/>
            </w:pPr>
            <w:r>
              <w:rPr/>
              <w:t xml:space="preserve">3. </w:t>
            </w:r>
          </w:p>
        </w:tc>
        <w:tc>
          <w:tcPr>
            <w:tcW w:w="1501" w:type="dxa"/>
            <w:tcBorders/>
            <w:vAlign w:val="center"/>
          </w:tcPr>
          <w:p>
            <w:pPr>
              <w:pStyle w:val="TableContents"/>
              <w:bidi w:val="0"/>
              <w:spacing w:before="0" w:after="283"/>
              <w:jc w:val="start"/>
              <w:rPr/>
            </w:pPr>
            <w:r>
              <w:rPr>
                <w:rStyle w:val="Emphasis"/>
              </w:rPr>
              <w:t xml:space="preserve">Thuja occidentalis </w:t>
            </w:r>
          </w:p>
        </w:tc>
        <w:tc>
          <w:tcPr>
            <w:tcW w:w="1051" w:type="dxa"/>
            <w:tcBorders/>
            <w:vAlign w:val="center"/>
          </w:tcPr>
          <w:p>
            <w:pPr>
              <w:pStyle w:val="TableContents"/>
              <w:bidi w:val="0"/>
              <w:spacing w:before="0" w:after="283"/>
              <w:jc w:val="start"/>
              <w:rPr/>
            </w:pPr>
            <w:r>
              <w:rPr/>
              <w:t xml:space="preserve">28. 45 </w:t>
            </w:r>
          </w:p>
        </w:tc>
        <w:tc>
          <w:tcPr>
            <w:tcW w:w="1411" w:type="dxa"/>
            <w:tcBorders/>
            <w:vAlign w:val="center"/>
          </w:tcPr>
          <w:p>
            <w:pPr>
              <w:pStyle w:val="TableContents"/>
              <w:bidi w:val="0"/>
              <w:spacing w:before="0" w:after="283"/>
              <w:jc w:val="start"/>
              <w:rPr/>
            </w:pPr>
            <w:r>
              <w:rPr/>
              <w:t xml:space="preserve">43. 55 </w:t>
            </w:r>
          </w:p>
        </w:tc>
      </w:tr>
      <w:tr>
        <w:trPr/>
        <w:tc>
          <w:tcPr>
            <w:tcW w:w="481" w:type="dxa"/>
            <w:tcBorders/>
            <w:vAlign w:val="center"/>
          </w:tcPr>
          <w:p>
            <w:pPr>
              <w:pStyle w:val="TableContents"/>
              <w:bidi w:val="0"/>
              <w:spacing w:before="0" w:after="283"/>
              <w:jc w:val="start"/>
              <w:rPr/>
            </w:pPr>
            <w:r>
              <w:rPr/>
              <w:t xml:space="preserve">4. </w:t>
            </w:r>
          </w:p>
        </w:tc>
        <w:tc>
          <w:tcPr>
            <w:tcW w:w="1501" w:type="dxa"/>
            <w:tcBorders/>
            <w:vAlign w:val="center"/>
          </w:tcPr>
          <w:p>
            <w:pPr>
              <w:pStyle w:val="TableContents"/>
              <w:bidi w:val="0"/>
              <w:spacing w:before="0" w:after="283"/>
              <w:jc w:val="start"/>
              <w:rPr/>
            </w:pPr>
            <w:r>
              <w:rPr>
                <w:rStyle w:val="Emphasis"/>
              </w:rPr>
              <w:t xml:space="preserve">Argentum metallicum </w:t>
            </w:r>
          </w:p>
        </w:tc>
        <w:tc>
          <w:tcPr>
            <w:tcW w:w="1051" w:type="dxa"/>
            <w:tcBorders/>
            <w:vAlign w:val="center"/>
          </w:tcPr>
          <w:p>
            <w:pPr>
              <w:pStyle w:val="TableContents"/>
              <w:bidi w:val="0"/>
              <w:spacing w:before="0" w:after="283"/>
              <w:jc w:val="start"/>
              <w:rPr/>
            </w:pPr>
            <w:r>
              <w:rPr/>
              <w:t xml:space="preserve">32. 58 </w:t>
            </w:r>
          </w:p>
        </w:tc>
        <w:tc>
          <w:tcPr>
            <w:tcW w:w="1411" w:type="dxa"/>
            <w:tcBorders/>
            <w:vAlign w:val="center"/>
          </w:tcPr>
          <w:p>
            <w:pPr>
              <w:pStyle w:val="TableContents"/>
              <w:bidi w:val="0"/>
              <w:spacing w:before="0" w:after="283"/>
              <w:jc w:val="start"/>
              <w:rPr/>
            </w:pPr>
            <w:r>
              <w:rPr/>
              <w:t xml:space="preserve">45. 75 </w:t>
            </w:r>
          </w:p>
        </w:tc>
      </w:tr>
      <w:tr>
        <w:trPr/>
        <w:tc>
          <w:tcPr>
            <w:tcW w:w="481" w:type="dxa"/>
            <w:tcBorders/>
            <w:vAlign w:val="center"/>
          </w:tcPr>
          <w:p>
            <w:pPr>
              <w:pStyle w:val="TableContents"/>
              <w:bidi w:val="0"/>
              <w:spacing w:before="0" w:after="283"/>
              <w:jc w:val="start"/>
              <w:rPr/>
            </w:pPr>
            <w:r>
              <w:rPr/>
              <w:t xml:space="preserve">5. </w:t>
            </w:r>
          </w:p>
        </w:tc>
        <w:tc>
          <w:tcPr>
            <w:tcW w:w="1501" w:type="dxa"/>
            <w:tcBorders/>
            <w:vAlign w:val="center"/>
          </w:tcPr>
          <w:p>
            <w:pPr>
              <w:pStyle w:val="TableContents"/>
              <w:bidi w:val="0"/>
              <w:spacing w:before="0" w:after="283"/>
              <w:jc w:val="start"/>
              <w:rPr/>
            </w:pPr>
            <w:r>
              <w:rPr>
                <w:rStyle w:val="Emphasis"/>
              </w:rPr>
              <w:t xml:space="preserve">Sepia officinale </w:t>
            </w:r>
          </w:p>
        </w:tc>
        <w:tc>
          <w:tcPr>
            <w:tcW w:w="1051" w:type="dxa"/>
            <w:tcBorders/>
            <w:vAlign w:val="center"/>
          </w:tcPr>
          <w:p>
            <w:pPr>
              <w:pStyle w:val="TableContents"/>
              <w:bidi w:val="0"/>
              <w:spacing w:before="0" w:after="283"/>
              <w:jc w:val="start"/>
              <w:rPr/>
            </w:pPr>
            <w:r>
              <w:rPr/>
              <w:t xml:space="preserve">40. 42 </w:t>
            </w:r>
          </w:p>
        </w:tc>
        <w:tc>
          <w:tcPr>
            <w:tcW w:w="1411" w:type="dxa"/>
            <w:tcBorders/>
            <w:vAlign w:val="center"/>
          </w:tcPr>
          <w:p>
            <w:pPr>
              <w:pStyle w:val="TableContents"/>
              <w:bidi w:val="0"/>
              <w:spacing w:before="0" w:after="283"/>
              <w:jc w:val="start"/>
              <w:rPr/>
            </w:pPr>
            <w:r>
              <w:rPr/>
              <w:t xml:space="preserve">53. 25 </w:t>
            </w:r>
          </w:p>
        </w:tc>
      </w:tr>
      <w:tr>
        <w:trPr/>
        <w:tc>
          <w:tcPr>
            <w:tcW w:w="481" w:type="dxa"/>
            <w:tcBorders/>
            <w:vAlign w:val="center"/>
          </w:tcPr>
          <w:p>
            <w:pPr>
              <w:pStyle w:val="TableContents"/>
              <w:bidi w:val="0"/>
              <w:spacing w:before="0" w:after="283"/>
              <w:jc w:val="start"/>
              <w:rPr/>
            </w:pPr>
            <w:r>
              <w:rPr/>
              <w:t xml:space="preserve">6. </w:t>
            </w:r>
          </w:p>
        </w:tc>
        <w:tc>
          <w:tcPr>
            <w:tcW w:w="1501" w:type="dxa"/>
            <w:tcBorders/>
            <w:vAlign w:val="center"/>
          </w:tcPr>
          <w:p>
            <w:pPr>
              <w:pStyle w:val="TableContents"/>
              <w:bidi w:val="0"/>
              <w:spacing w:before="0" w:after="283"/>
              <w:jc w:val="start"/>
              <w:rPr/>
            </w:pPr>
            <w:r>
              <w:rPr>
                <w:rStyle w:val="Emphasis"/>
              </w:rPr>
              <w:t xml:space="preserve">Lycopodium clavatum </w:t>
            </w:r>
          </w:p>
        </w:tc>
        <w:tc>
          <w:tcPr>
            <w:tcW w:w="1051" w:type="dxa"/>
            <w:tcBorders/>
            <w:vAlign w:val="center"/>
          </w:tcPr>
          <w:p>
            <w:pPr>
              <w:pStyle w:val="TableContents"/>
              <w:bidi w:val="0"/>
              <w:spacing w:before="0" w:after="283"/>
              <w:jc w:val="start"/>
              <w:rPr/>
            </w:pPr>
            <w:r>
              <w:rPr/>
              <w:t xml:space="preserve">30. 58 </w:t>
            </w:r>
          </w:p>
        </w:tc>
        <w:tc>
          <w:tcPr>
            <w:tcW w:w="1411" w:type="dxa"/>
            <w:tcBorders/>
            <w:vAlign w:val="center"/>
          </w:tcPr>
          <w:p>
            <w:pPr>
              <w:pStyle w:val="TableContents"/>
              <w:bidi w:val="0"/>
              <w:spacing w:before="0" w:after="283"/>
              <w:jc w:val="start"/>
              <w:rPr/>
            </w:pPr>
            <w:r>
              <w:rPr/>
              <w:t xml:space="preserve">45. 38 </w:t>
            </w:r>
          </w:p>
        </w:tc>
      </w:tr>
      <w:tr>
        <w:trPr/>
        <w:tc>
          <w:tcPr>
            <w:tcW w:w="481" w:type="dxa"/>
            <w:tcBorders/>
            <w:vAlign w:val="center"/>
          </w:tcPr>
          <w:p>
            <w:pPr>
              <w:pStyle w:val="TableContents"/>
              <w:bidi w:val="0"/>
              <w:spacing w:before="0" w:after="283"/>
              <w:jc w:val="start"/>
              <w:rPr/>
            </w:pPr>
            <w:r>
              <w:rPr/>
              <w:t xml:space="preserve">7. </w:t>
            </w:r>
          </w:p>
        </w:tc>
        <w:tc>
          <w:tcPr>
            <w:tcW w:w="1501" w:type="dxa"/>
            <w:tcBorders/>
            <w:vAlign w:val="center"/>
          </w:tcPr>
          <w:p>
            <w:pPr>
              <w:pStyle w:val="TableContents"/>
              <w:bidi w:val="0"/>
              <w:spacing w:before="0" w:after="283"/>
              <w:jc w:val="start"/>
              <w:rPr/>
            </w:pPr>
            <w:r>
              <w:rPr>
                <w:rStyle w:val="Emphasis"/>
              </w:rPr>
              <w:t xml:space="preserve">Ustilago maydis </w:t>
            </w:r>
          </w:p>
        </w:tc>
        <w:tc>
          <w:tcPr>
            <w:tcW w:w="1051" w:type="dxa"/>
            <w:tcBorders/>
            <w:vAlign w:val="center"/>
          </w:tcPr>
          <w:p>
            <w:pPr>
              <w:pStyle w:val="TableContents"/>
              <w:bidi w:val="0"/>
              <w:spacing w:before="0" w:after="283"/>
              <w:jc w:val="start"/>
              <w:rPr/>
            </w:pPr>
            <w:r>
              <w:rPr/>
              <w:t xml:space="preserve">36. 56 </w:t>
            </w:r>
          </w:p>
        </w:tc>
        <w:tc>
          <w:tcPr>
            <w:tcW w:w="1411" w:type="dxa"/>
            <w:tcBorders/>
            <w:vAlign w:val="center"/>
          </w:tcPr>
          <w:p>
            <w:pPr>
              <w:pStyle w:val="TableContents"/>
              <w:bidi w:val="0"/>
              <w:spacing w:before="0" w:after="283"/>
              <w:jc w:val="start"/>
              <w:rPr/>
            </w:pPr>
            <w:r>
              <w:rPr/>
              <w:t xml:space="preserve">49. 95 </w:t>
            </w:r>
          </w:p>
        </w:tc>
      </w:tr>
      <w:tr>
        <w:trPr/>
        <w:tc>
          <w:tcPr>
            <w:tcW w:w="481" w:type="dxa"/>
            <w:tcBorders/>
            <w:vAlign w:val="center"/>
          </w:tcPr>
          <w:p>
            <w:pPr>
              <w:pStyle w:val="TableContents"/>
              <w:bidi w:val="0"/>
              <w:spacing w:before="0" w:after="283"/>
              <w:jc w:val="start"/>
              <w:rPr/>
            </w:pPr>
            <w:r>
              <w:rPr/>
              <w:t xml:space="preserve">8. </w:t>
            </w:r>
          </w:p>
        </w:tc>
        <w:tc>
          <w:tcPr>
            <w:tcW w:w="1501" w:type="dxa"/>
            <w:tcBorders/>
            <w:vAlign w:val="center"/>
          </w:tcPr>
          <w:p>
            <w:pPr>
              <w:pStyle w:val="TableContents"/>
              <w:bidi w:val="0"/>
              <w:spacing w:before="0" w:after="283"/>
              <w:jc w:val="start"/>
              <w:rPr/>
            </w:pPr>
            <w:r>
              <w:rPr>
                <w:rStyle w:val="Emphasis"/>
              </w:rPr>
              <w:t xml:space="preserve">Iris versicolor </w:t>
            </w:r>
          </w:p>
        </w:tc>
        <w:tc>
          <w:tcPr>
            <w:tcW w:w="1051" w:type="dxa"/>
            <w:tcBorders/>
            <w:vAlign w:val="center"/>
          </w:tcPr>
          <w:p>
            <w:pPr>
              <w:pStyle w:val="TableContents"/>
              <w:bidi w:val="0"/>
              <w:spacing w:before="0" w:after="283"/>
              <w:jc w:val="start"/>
              <w:rPr/>
            </w:pPr>
            <w:r>
              <w:rPr/>
              <w:t xml:space="preserve">36. 32 </w:t>
            </w:r>
          </w:p>
        </w:tc>
        <w:tc>
          <w:tcPr>
            <w:tcW w:w="1411" w:type="dxa"/>
            <w:tcBorders/>
            <w:vAlign w:val="center"/>
          </w:tcPr>
          <w:p>
            <w:pPr>
              <w:pStyle w:val="TableContents"/>
              <w:bidi w:val="0"/>
              <w:spacing w:before="0" w:after="283"/>
              <w:jc w:val="start"/>
              <w:rPr/>
            </w:pPr>
            <w:r>
              <w:rPr/>
              <w:t xml:space="preserve">51. 50 </w:t>
            </w:r>
          </w:p>
        </w:tc>
      </w:tr>
      <w:tr>
        <w:trPr/>
        <w:tc>
          <w:tcPr>
            <w:tcW w:w="481" w:type="dxa"/>
            <w:tcBorders/>
            <w:vAlign w:val="center"/>
          </w:tcPr>
          <w:p>
            <w:pPr>
              <w:pStyle w:val="TableContents"/>
              <w:bidi w:val="0"/>
              <w:spacing w:before="0" w:after="283"/>
              <w:jc w:val="start"/>
              <w:rPr/>
            </w:pPr>
            <w:r>
              <w:rPr/>
              <w:t xml:space="preserve">9. </w:t>
            </w:r>
          </w:p>
        </w:tc>
        <w:tc>
          <w:tcPr>
            <w:tcW w:w="1501" w:type="dxa"/>
            <w:tcBorders/>
            <w:vAlign w:val="center"/>
          </w:tcPr>
          <w:p>
            <w:pPr>
              <w:pStyle w:val="TableContents"/>
              <w:bidi w:val="0"/>
              <w:spacing w:before="0" w:after="283"/>
              <w:jc w:val="start"/>
              <w:rPr/>
            </w:pPr>
            <w:r>
              <w:rPr>
                <w:rStyle w:val="Emphasis"/>
              </w:rPr>
              <w:t xml:space="preserve">Cynopodium </w:t>
            </w:r>
          </w:p>
        </w:tc>
        <w:tc>
          <w:tcPr>
            <w:tcW w:w="1051" w:type="dxa"/>
            <w:tcBorders/>
            <w:vAlign w:val="center"/>
          </w:tcPr>
          <w:p>
            <w:pPr>
              <w:pStyle w:val="TableContents"/>
              <w:bidi w:val="0"/>
              <w:spacing w:before="0" w:after="283"/>
              <w:jc w:val="start"/>
              <w:rPr/>
            </w:pPr>
            <w:r>
              <w:rPr/>
              <w:t xml:space="preserve">38. 00 </w:t>
            </w:r>
          </w:p>
        </w:tc>
        <w:tc>
          <w:tcPr>
            <w:tcW w:w="1411" w:type="dxa"/>
            <w:tcBorders/>
            <w:vAlign w:val="center"/>
          </w:tcPr>
          <w:p>
            <w:pPr>
              <w:pStyle w:val="TableContents"/>
              <w:bidi w:val="0"/>
              <w:spacing w:before="0" w:after="283"/>
              <w:jc w:val="start"/>
              <w:rPr/>
            </w:pPr>
            <w:r>
              <w:rPr/>
              <w:t xml:space="preserve">52. 58 </w:t>
            </w:r>
          </w:p>
        </w:tc>
      </w:tr>
      <w:tr>
        <w:trPr/>
        <w:tc>
          <w:tcPr>
            <w:tcW w:w="481" w:type="dxa"/>
            <w:tcBorders/>
            <w:vAlign w:val="center"/>
          </w:tcPr>
          <w:p>
            <w:pPr>
              <w:pStyle w:val="TableContents"/>
              <w:bidi w:val="0"/>
              <w:spacing w:before="0" w:after="283"/>
              <w:jc w:val="start"/>
              <w:rPr/>
            </w:pPr>
            <w:r>
              <w:rPr/>
              <w:t xml:space="preserve">10. </w:t>
            </w:r>
          </w:p>
        </w:tc>
        <w:tc>
          <w:tcPr>
            <w:tcW w:w="1501" w:type="dxa"/>
            <w:tcBorders/>
            <w:vAlign w:val="center"/>
          </w:tcPr>
          <w:p>
            <w:pPr>
              <w:pStyle w:val="TableContents"/>
              <w:bidi w:val="0"/>
              <w:spacing w:before="0" w:after="283"/>
              <w:jc w:val="start"/>
              <w:rPr/>
            </w:pPr>
            <w:r>
              <w:rPr>
                <w:rStyle w:val="Emphasis"/>
              </w:rPr>
              <w:t xml:space="preserve">Zincum metallicum </w:t>
            </w:r>
          </w:p>
        </w:tc>
        <w:tc>
          <w:tcPr>
            <w:tcW w:w="1051" w:type="dxa"/>
            <w:tcBorders/>
            <w:vAlign w:val="center"/>
          </w:tcPr>
          <w:p>
            <w:pPr>
              <w:pStyle w:val="TableContents"/>
              <w:bidi w:val="0"/>
              <w:spacing w:before="0" w:after="283"/>
              <w:jc w:val="start"/>
              <w:rPr/>
            </w:pPr>
            <w:r>
              <w:rPr/>
              <w:t xml:space="preserve">34. 80 </w:t>
            </w:r>
          </w:p>
        </w:tc>
        <w:tc>
          <w:tcPr>
            <w:tcW w:w="1411" w:type="dxa"/>
            <w:tcBorders/>
            <w:vAlign w:val="center"/>
          </w:tcPr>
          <w:p>
            <w:pPr>
              <w:pStyle w:val="TableContents"/>
              <w:bidi w:val="0"/>
              <w:spacing w:before="0" w:after="283"/>
              <w:jc w:val="start"/>
              <w:rPr/>
            </w:pPr>
            <w:r>
              <w:rPr/>
              <w:t xml:space="preserve">49. 46 </w:t>
            </w:r>
          </w:p>
        </w:tc>
      </w:tr>
      <w:tr>
        <w:trPr/>
        <w:tc>
          <w:tcPr>
            <w:tcW w:w="481" w:type="dxa"/>
            <w:tcBorders/>
            <w:vAlign w:val="center"/>
          </w:tcPr>
          <w:p>
            <w:pPr>
              <w:pStyle w:val="TableContents"/>
              <w:bidi w:val="0"/>
              <w:spacing w:before="0" w:after="283"/>
              <w:jc w:val="start"/>
              <w:rPr/>
            </w:pPr>
            <w:r>
              <w:rPr/>
              <w:t xml:space="preserve">11. </w:t>
            </w:r>
          </w:p>
        </w:tc>
        <w:tc>
          <w:tcPr>
            <w:tcW w:w="1501" w:type="dxa"/>
            <w:tcBorders/>
            <w:vAlign w:val="center"/>
          </w:tcPr>
          <w:p>
            <w:pPr>
              <w:pStyle w:val="TableContents"/>
              <w:bidi w:val="0"/>
              <w:spacing w:before="0" w:after="283"/>
              <w:jc w:val="start"/>
              <w:rPr/>
            </w:pPr>
            <w:r>
              <w:rPr>
                <w:rStyle w:val="Emphasis"/>
              </w:rPr>
              <w:t xml:space="preserve">Arsenicum album </w:t>
            </w:r>
          </w:p>
        </w:tc>
        <w:tc>
          <w:tcPr>
            <w:tcW w:w="1051" w:type="dxa"/>
            <w:tcBorders/>
            <w:vAlign w:val="center"/>
          </w:tcPr>
          <w:p>
            <w:pPr>
              <w:pStyle w:val="TableContents"/>
              <w:bidi w:val="0"/>
              <w:spacing w:before="0" w:after="283"/>
              <w:jc w:val="start"/>
              <w:rPr/>
            </w:pPr>
            <w:r>
              <w:rPr/>
              <w:t xml:space="preserve">38. 75 </w:t>
            </w:r>
          </w:p>
        </w:tc>
        <w:tc>
          <w:tcPr>
            <w:tcW w:w="1411" w:type="dxa"/>
            <w:tcBorders/>
            <w:vAlign w:val="center"/>
          </w:tcPr>
          <w:p>
            <w:pPr>
              <w:pStyle w:val="TableContents"/>
              <w:bidi w:val="0"/>
              <w:spacing w:before="0" w:after="283"/>
              <w:jc w:val="start"/>
              <w:rPr/>
            </w:pPr>
            <w:r>
              <w:rPr/>
              <w:t xml:space="preserve">51. 00 </w:t>
            </w:r>
          </w:p>
        </w:tc>
      </w:tr>
      <w:tr>
        <w:trPr/>
        <w:tc>
          <w:tcPr>
            <w:tcW w:w="481" w:type="dxa"/>
            <w:tcBorders/>
            <w:vAlign w:val="center"/>
          </w:tcPr>
          <w:p>
            <w:pPr>
              <w:pStyle w:val="TableContents"/>
              <w:bidi w:val="0"/>
              <w:spacing w:before="0" w:after="283"/>
              <w:jc w:val="start"/>
              <w:rPr/>
            </w:pPr>
            <w:r>
              <w:rPr/>
              <w:t xml:space="preserve">12. </w:t>
            </w:r>
          </w:p>
        </w:tc>
        <w:tc>
          <w:tcPr>
            <w:tcW w:w="1501" w:type="dxa"/>
            <w:tcBorders/>
            <w:vAlign w:val="center"/>
          </w:tcPr>
          <w:p>
            <w:pPr>
              <w:pStyle w:val="TableContents"/>
              <w:bidi w:val="0"/>
              <w:spacing w:before="0" w:after="283"/>
              <w:jc w:val="start"/>
              <w:rPr/>
            </w:pPr>
            <w:r>
              <w:rPr>
                <w:rStyle w:val="Emphasis"/>
              </w:rPr>
              <w:t xml:space="preserve">Baptisia tinctoria </w:t>
            </w:r>
          </w:p>
        </w:tc>
        <w:tc>
          <w:tcPr>
            <w:tcW w:w="1051" w:type="dxa"/>
            <w:tcBorders/>
            <w:vAlign w:val="center"/>
          </w:tcPr>
          <w:p>
            <w:pPr>
              <w:pStyle w:val="TableContents"/>
              <w:bidi w:val="0"/>
              <w:spacing w:before="0" w:after="283"/>
              <w:jc w:val="start"/>
              <w:rPr/>
            </w:pPr>
            <w:r>
              <w:rPr/>
              <w:t xml:space="preserve">36. 58 </w:t>
            </w:r>
          </w:p>
        </w:tc>
        <w:tc>
          <w:tcPr>
            <w:tcW w:w="1411" w:type="dxa"/>
            <w:tcBorders/>
            <w:vAlign w:val="center"/>
          </w:tcPr>
          <w:p>
            <w:pPr>
              <w:pStyle w:val="TableContents"/>
              <w:bidi w:val="0"/>
              <w:spacing w:before="0" w:after="283"/>
              <w:jc w:val="start"/>
              <w:rPr/>
            </w:pPr>
            <w:r>
              <w:rPr/>
              <w:t xml:space="preserve">52. 65 </w:t>
            </w:r>
          </w:p>
        </w:tc>
      </w:tr>
      <w:tr>
        <w:trPr/>
        <w:tc>
          <w:tcPr>
            <w:tcW w:w="481" w:type="dxa"/>
            <w:tcBorders/>
            <w:vAlign w:val="center"/>
          </w:tcPr>
          <w:p>
            <w:pPr>
              <w:pStyle w:val="TableContents"/>
              <w:bidi w:val="0"/>
              <w:spacing w:before="0" w:after="283"/>
              <w:jc w:val="start"/>
              <w:rPr/>
            </w:pPr>
            <w:r>
              <w:rPr/>
              <w:t xml:space="preserve">13. </w:t>
            </w:r>
          </w:p>
        </w:tc>
        <w:tc>
          <w:tcPr>
            <w:tcW w:w="1501" w:type="dxa"/>
            <w:tcBorders/>
            <w:vAlign w:val="center"/>
          </w:tcPr>
          <w:p>
            <w:pPr>
              <w:pStyle w:val="TableContents"/>
              <w:bidi w:val="0"/>
              <w:spacing w:before="0" w:after="283"/>
              <w:jc w:val="start"/>
              <w:rPr/>
            </w:pPr>
            <w:r>
              <w:rPr>
                <w:rStyle w:val="Emphasis"/>
              </w:rPr>
              <w:t xml:space="preserve">Teucrium marum verum </w:t>
            </w:r>
          </w:p>
        </w:tc>
        <w:tc>
          <w:tcPr>
            <w:tcW w:w="1051" w:type="dxa"/>
            <w:tcBorders/>
            <w:vAlign w:val="center"/>
          </w:tcPr>
          <w:p>
            <w:pPr>
              <w:pStyle w:val="TableContents"/>
              <w:bidi w:val="0"/>
              <w:spacing w:before="0" w:after="283"/>
              <w:jc w:val="start"/>
              <w:rPr/>
            </w:pPr>
            <w:r>
              <w:rPr/>
              <w:t xml:space="preserve">28. 50 </w:t>
            </w:r>
          </w:p>
        </w:tc>
        <w:tc>
          <w:tcPr>
            <w:tcW w:w="1411" w:type="dxa"/>
            <w:tcBorders/>
            <w:vAlign w:val="center"/>
          </w:tcPr>
          <w:p>
            <w:pPr>
              <w:pStyle w:val="TableContents"/>
              <w:bidi w:val="0"/>
              <w:spacing w:before="0" w:after="283"/>
              <w:jc w:val="start"/>
              <w:rPr/>
            </w:pPr>
            <w:r>
              <w:rPr/>
              <w:t xml:space="preserve">43. 78 </w:t>
            </w:r>
          </w:p>
        </w:tc>
      </w:tr>
      <w:tr>
        <w:trPr/>
        <w:tc>
          <w:tcPr>
            <w:tcW w:w="481" w:type="dxa"/>
            <w:tcBorders/>
            <w:vAlign w:val="center"/>
          </w:tcPr>
          <w:p>
            <w:pPr>
              <w:pStyle w:val="TableContents"/>
              <w:bidi w:val="0"/>
              <w:spacing w:before="0" w:after="283"/>
              <w:jc w:val="start"/>
              <w:rPr/>
            </w:pPr>
            <w:r>
              <w:rPr/>
              <w:t xml:space="preserve">14. </w:t>
            </w:r>
          </w:p>
        </w:tc>
        <w:tc>
          <w:tcPr>
            <w:tcW w:w="1501" w:type="dxa"/>
            <w:tcBorders/>
            <w:vAlign w:val="center"/>
          </w:tcPr>
          <w:p>
            <w:pPr>
              <w:pStyle w:val="TableContents"/>
              <w:bidi w:val="0"/>
              <w:spacing w:before="0" w:after="283"/>
              <w:jc w:val="start"/>
              <w:rPr/>
            </w:pPr>
            <w:r>
              <w:rPr/>
              <w:t xml:space="preserve">Carbendazim (970. 3µg/ml) </w:t>
            </w:r>
          </w:p>
        </w:tc>
        <w:tc>
          <w:tcPr>
            <w:tcW w:w="1051" w:type="dxa"/>
            <w:tcBorders/>
            <w:vAlign w:val="center"/>
          </w:tcPr>
          <w:p>
            <w:pPr>
              <w:pStyle w:val="TableContents"/>
              <w:bidi w:val="0"/>
              <w:spacing w:before="0" w:after="283"/>
              <w:jc w:val="start"/>
              <w:rPr/>
            </w:pPr>
            <w:r>
              <w:rPr/>
              <w:t xml:space="preserve">51. 00 </w:t>
            </w:r>
          </w:p>
        </w:tc>
        <w:tc>
          <w:tcPr>
            <w:tcW w:w="1411" w:type="dxa"/>
            <w:tcBorders/>
            <w:vAlign w:val="center"/>
          </w:tcPr>
          <w:p>
            <w:pPr>
              <w:pStyle w:val="TableContents"/>
              <w:bidi w:val="0"/>
              <w:spacing w:before="0" w:after="283"/>
              <w:jc w:val="start"/>
              <w:rPr/>
            </w:pPr>
            <w:r>
              <w:rPr/>
              <w:t xml:space="preserve">— </w:t>
            </w:r>
          </w:p>
        </w:tc>
      </w:tr>
      <w:tr>
        <w:trPr/>
        <w:tc>
          <w:tcPr>
            <w:tcW w:w="481" w:type="dxa"/>
            <w:tcBorders/>
            <w:vAlign w:val="center"/>
          </w:tcPr>
          <w:p>
            <w:pPr>
              <w:pStyle w:val="TableContents"/>
              <w:bidi w:val="0"/>
              <w:spacing w:before="0" w:after="283"/>
              <w:jc w:val="start"/>
              <w:rPr>
                <w:sz w:val="4"/>
                <w:szCs w:val="4"/>
              </w:rPr>
            </w:pPr>
            <w:r>
              <w:rPr>
                <w:sz w:val="4"/>
                <w:szCs w:val="4"/>
              </w:rPr>
            </w:r>
          </w:p>
        </w:tc>
        <w:tc>
          <w:tcPr>
            <w:tcW w:w="1501" w:type="dxa"/>
            <w:tcBorders/>
            <w:vAlign w:val="center"/>
          </w:tcPr>
          <w:p>
            <w:pPr>
              <w:pStyle w:val="TableContents"/>
              <w:bidi w:val="0"/>
              <w:spacing w:before="0" w:after="283"/>
              <w:jc w:val="start"/>
              <w:rPr/>
            </w:pPr>
            <w:r>
              <w:rPr/>
              <w:t xml:space="preserve">SE </w:t>
            </w:r>
          </w:p>
        </w:tc>
        <w:tc>
          <w:tcPr>
            <w:tcW w:w="1051" w:type="dxa"/>
            <w:tcBorders/>
            <w:vAlign w:val="center"/>
          </w:tcPr>
          <w:p>
            <w:pPr>
              <w:pStyle w:val="TableContents"/>
              <w:bidi w:val="0"/>
              <w:spacing w:before="0" w:after="283"/>
              <w:jc w:val="start"/>
              <w:rPr/>
            </w:pPr>
            <w:r>
              <w:rPr/>
              <w:t xml:space="preserve">1. 929 </w:t>
            </w:r>
          </w:p>
        </w:tc>
        <w:tc>
          <w:tcPr>
            <w:tcW w:w="1411" w:type="dxa"/>
            <w:tcBorders/>
            <w:vAlign w:val="center"/>
          </w:tcPr>
          <w:p>
            <w:pPr>
              <w:pStyle w:val="TableContents"/>
              <w:bidi w:val="0"/>
              <w:spacing w:before="0" w:after="283"/>
              <w:jc w:val="start"/>
              <w:rPr/>
            </w:pPr>
            <w:r>
              <w:rPr/>
              <w:t xml:space="preserve">1. 716 </w:t>
            </w:r>
          </w:p>
        </w:tc>
      </w:tr>
      <w:tr>
        <w:trPr/>
        <w:tc>
          <w:tcPr>
            <w:tcW w:w="481" w:type="dxa"/>
            <w:tcBorders/>
            <w:vAlign w:val="center"/>
          </w:tcPr>
          <w:p>
            <w:pPr>
              <w:pStyle w:val="TableContents"/>
              <w:bidi w:val="0"/>
              <w:spacing w:before="0" w:after="283"/>
              <w:jc w:val="start"/>
              <w:rPr>
                <w:sz w:val="4"/>
                <w:szCs w:val="4"/>
              </w:rPr>
            </w:pPr>
            <w:r>
              <w:rPr>
                <w:sz w:val="4"/>
                <w:szCs w:val="4"/>
              </w:rPr>
            </w:r>
          </w:p>
        </w:tc>
        <w:tc>
          <w:tcPr>
            <w:tcW w:w="1501" w:type="dxa"/>
            <w:tcBorders/>
            <w:vAlign w:val="center"/>
          </w:tcPr>
          <w:p>
            <w:pPr>
              <w:pStyle w:val="TableContents"/>
              <w:bidi w:val="0"/>
              <w:spacing w:before="0" w:after="283"/>
              <w:jc w:val="start"/>
              <w:rPr/>
            </w:pPr>
            <w:r>
              <w:rPr/>
              <w:t xml:space="preserve">CD at 0. 05 </w:t>
            </w:r>
          </w:p>
        </w:tc>
        <w:tc>
          <w:tcPr>
            <w:tcW w:w="1051" w:type="dxa"/>
            <w:tcBorders/>
            <w:vAlign w:val="center"/>
          </w:tcPr>
          <w:p>
            <w:pPr>
              <w:pStyle w:val="TableContents"/>
              <w:bidi w:val="0"/>
              <w:spacing w:before="0" w:after="283"/>
              <w:jc w:val="start"/>
              <w:rPr/>
            </w:pPr>
            <w:r>
              <w:rPr/>
              <w:t xml:space="preserve">4. 008 </w:t>
            </w:r>
          </w:p>
        </w:tc>
        <w:tc>
          <w:tcPr>
            <w:tcW w:w="1411" w:type="dxa"/>
            <w:tcBorders/>
            <w:vAlign w:val="center"/>
          </w:tcPr>
          <w:p>
            <w:pPr>
              <w:pStyle w:val="TableContents"/>
              <w:bidi w:val="0"/>
              <w:spacing w:before="0" w:after="283"/>
              <w:jc w:val="start"/>
              <w:rPr/>
            </w:pPr>
            <w:r>
              <w:rPr/>
              <w:t xml:space="preserve">3. 581 </w:t>
            </w:r>
          </w:p>
        </w:tc>
      </w:tr>
      <w:tr>
        <w:trPr/>
        <w:tc>
          <w:tcPr>
            <w:tcW w:w="481" w:type="dxa"/>
            <w:tcBorders/>
            <w:vAlign w:val="center"/>
          </w:tcPr>
          <w:p>
            <w:pPr>
              <w:pStyle w:val="TableContents"/>
              <w:bidi w:val="0"/>
              <w:spacing w:before="0" w:after="283"/>
              <w:jc w:val="start"/>
              <w:rPr>
                <w:sz w:val="4"/>
                <w:szCs w:val="4"/>
              </w:rPr>
            </w:pPr>
            <w:r>
              <w:rPr>
                <w:sz w:val="4"/>
                <w:szCs w:val="4"/>
              </w:rPr>
            </w:r>
          </w:p>
        </w:tc>
        <w:tc>
          <w:tcPr>
            <w:tcW w:w="1501" w:type="dxa"/>
            <w:tcBorders/>
            <w:vAlign w:val="center"/>
          </w:tcPr>
          <w:p>
            <w:pPr>
              <w:pStyle w:val="TableContents"/>
              <w:bidi w:val="0"/>
              <w:spacing w:before="0" w:after="283"/>
              <w:jc w:val="start"/>
              <w:rPr/>
            </w:pPr>
            <w:r>
              <w:rPr/>
              <w:t xml:space="preserve">at 0. 05 </w:t>
            </w:r>
          </w:p>
        </w:tc>
        <w:tc>
          <w:tcPr>
            <w:tcW w:w="1051" w:type="dxa"/>
            <w:tcBorders/>
            <w:vAlign w:val="center"/>
          </w:tcPr>
          <w:p>
            <w:pPr>
              <w:pStyle w:val="TableContents"/>
              <w:bidi w:val="0"/>
              <w:spacing w:before="0" w:after="283"/>
              <w:jc w:val="start"/>
              <w:rPr/>
            </w:pPr>
            <w:r>
              <w:rPr/>
              <w:t xml:space="preserve">4. 733 </w:t>
            </w:r>
          </w:p>
        </w:tc>
        <w:tc>
          <w:tcPr>
            <w:tcW w:w="1411" w:type="dxa"/>
            <w:tcBorders/>
            <w:vAlign w:val="center"/>
          </w:tcPr>
          <w:p>
            <w:pPr>
              <w:pStyle w:val="TableContents"/>
              <w:bidi w:val="0"/>
              <w:spacing w:before="0" w:after="283"/>
              <w:jc w:val="start"/>
              <w:rPr/>
            </w:pPr>
            <w:r>
              <w:rPr/>
              <w:t xml:space="preserve">4. 240 </w:t>
            </w:r>
          </w:p>
        </w:tc>
      </w:tr>
    </w:tbl>
    <w:p>
      <w:pPr>
        <w:pStyle w:val="TextBody"/>
        <w:bidi w:val="0"/>
        <w:spacing w:before="0" w:after="283"/>
        <w:jc w:val="start"/>
        <w:rPr/>
      </w:pPr>
      <w:r>
        <w:rPr/>
        <w:t xml:space="preserve">* Values are replicates. </w:t>
      </w:r>
    </w:p>
    <w:p>
      <w:pPr>
        <w:pStyle w:val="TextBody"/>
        <w:bidi w:val="0"/>
        <w:spacing w:before="0" w:after="283"/>
        <w:jc w:val="start"/>
        <w:rPr/>
      </w:pPr>
      <w:r>
        <w:rPr/>
        <w:t xml:space="preserve">REFERENCES: </w:t>
      </w:r>
    </w:p>
    <w:p>
      <w:pPr>
        <w:pStyle w:val="TextBody"/>
        <w:bidi w:val="0"/>
        <w:spacing w:before="0" w:after="283"/>
        <w:jc w:val="start"/>
        <w:rPr/>
      </w:pPr>
      <w:r>
        <w:rPr/>
        <w:t xml:space="preserve">Al-Hindi RR, Al-Najada AR and Mohamed SA (2011). Isolation and identification of some fruit spoilage fungi: Screening of plant cell wall degrading enzymes. </w:t>
      </w:r>
      <w:r>
        <w:rPr>
          <w:rStyle w:val="Emphasis"/>
        </w:rPr>
        <w:t xml:space="preserve">African Journal of Microbiology Research </w:t>
      </w:r>
      <w:r>
        <w:rPr/>
        <w:t xml:space="preserve">, 5(4): 443-448. </w:t>
      </w:r>
    </w:p>
    <w:p>
      <w:pPr>
        <w:pStyle w:val="TextBody"/>
        <w:bidi w:val="0"/>
        <w:spacing w:before="0" w:after="283"/>
        <w:jc w:val="start"/>
        <w:rPr/>
      </w:pPr>
      <w:r>
        <w:rPr/>
        <w:t xml:space="preserve">Arya A (2004). “ Tropical fruit diseases and pests”, Kalyani Publications, Ludhiana, India, pp. 217. </w:t>
      </w:r>
    </w:p>
    <w:p>
      <w:pPr>
        <w:pStyle w:val="TextBody"/>
        <w:bidi w:val="0"/>
        <w:spacing w:before="0" w:after="283"/>
        <w:jc w:val="start"/>
        <w:rPr/>
      </w:pPr>
      <w:r>
        <w:rPr/>
        <w:t xml:space="preserve">Chander M and Thind TS (1995) Development of carbendazim resistance in </w:t>
      </w:r>
      <w:r>
        <w:rPr>
          <w:rStyle w:val="Emphasis"/>
        </w:rPr>
        <w:t xml:space="preserve">Gloeosporium ampelophagum </w:t>
      </w:r>
      <w:r>
        <w:rPr/>
        <w:t xml:space="preserve">and strategies for its management. </w:t>
      </w:r>
      <w:r>
        <w:rPr>
          <w:rStyle w:val="Emphasis"/>
        </w:rPr>
        <w:t xml:space="preserve">Int. J. Mycol. Pl. Path. </w:t>
      </w:r>
      <w:r>
        <w:rPr/>
        <w:t xml:space="preserve">24(1 and 2): 25-33. </w:t>
      </w:r>
    </w:p>
    <w:p>
      <w:pPr>
        <w:pStyle w:val="TextBody"/>
        <w:bidi w:val="0"/>
        <w:spacing w:before="0" w:after="283"/>
        <w:jc w:val="start"/>
        <w:rPr/>
      </w:pPr>
      <w:r>
        <w:rPr/>
        <w:t xml:space="preserve">Chandra H, Dubey N K, Asthana A, Tripathi R D and Dixit SN (1981) Effect of some homoeopathic drugs against spore germination of some fungi. </w:t>
      </w:r>
      <w:r>
        <w:rPr>
          <w:rStyle w:val="Emphasis"/>
        </w:rPr>
        <w:t xml:space="preserve">Natural Acad. Sci. Letter </w:t>
      </w:r>
      <w:r>
        <w:rPr/>
        <w:t xml:space="preserve">4(4): 161-164. </w:t>
      </w:r>
    </w:p>
    <w:p>
      <w:pPr>
        <w:pStyle w:val="TextBody"/>
        <w:bidi w:val="0"/>
        <w:spacing w:before="0" w:after="283"/>
        <w:jc w:val="start"/>
        <w:rPr/>
      </w:pPr>
      <w:r>
        <w:rPr/>
        <w:t xml:space="preserve">Dahiwal MA and Suryawanshi NS (2010) Integrated management of carbendazim resistant </w:t>
      </w:r>
      <w:r>
        <w:rPr>
          <w:rStyle w:val="Emphasis"/>
        </w:rPr>
        <w:t xml:space="preserve">Alternaria alternata </w:t>
      </w:r>
      <w:r>
        <w:rPr/>
        <w:t xml:space="preserve">using homoeopathic medicine. </w:t>
      </w:r>
      <w:r>
        <w:rPr>
          <w:rStyle w:val="Emphasis"/>
        </w:rPr>
        <w:t xml:space="preserve">Bionano frontier. </w:t>
      </w:r>
      <w:r>
        <w:rPr/>
        <w:t xml:space="preserve">3(2): 330-331. </w:t>
      </w:r>
    </w:p>
    <w:p>
      <w:pPr>
        <w:pStyle w:val="TextBody"/>
        <w:bidi w:val="0"/>
        <w:spacing w:before="0" w:after="283"/>
        <w:jc w:val="start"/>
        <w:rPr/>
      </w:pPr>
      <w:r>
        <w:rPr/>
        <w:t xml:space="preserve">Dahiwal MA and Suryawanshi NS (2014) Grey mould of grape caused by </w:t>
      </w:r>
      <w:r>
        <w:rPr>
          <w:rStyle w:val="Emphasis"/>
        </w:rPr>
        <w:t xml:space="preserve">Botrytis cinerea- </w:t>
      </w:r>
      <w:r>
        <w:rPr/>
        <w:t xml:space="preserve">control using homeopathic medicine. </w:t>
      </w:r>
      <w:r>
        <w:rPr>
          <w:rStyle w:val="Emphasis"/>
        </w:rPr>
        <w:t xml:space="preserve">Fungi and Agriculture </w:t>
      </w:r>
      <w:r>
        <w:rPr/>
        <w:t xml:space="preserve">, p. 3-5. </w:t>
      </w:r>
    </w:p>
    <w:p>
      <w:pPr>
        <w:pStyle w:val="TextBody"/>
        <w:bidi w:val="0"/>
        <w:spacing w:before="0" w:after="283"/>
        <w:jc w:val="start"/>
        <w:rPr/>
      </w:pPr>
      <w:r>
        <w:rPr/>
        <w:t xml:space="preserve">Gangawane LV and Reddy BRC (1987) Distribution and survival of toxigenic strain of </w:t>
      </w:r>
      <w:r>
        <w:rPr>
          <w:rStyle w:val="Emphasis"/>
        </w:rPr>
        <w:t xml:space="preserve">Aspergillus flavus </w:t>
      </w:r>
      <w:r>
        <w:rPr/>
        <w:t xml:space="preserve">resistant to fungicides in Marathwada. In: </w:t>
      </w:r>
      <w:r>
        <w:rPr>
          <w:rStyle w:val="Emphasis"/>
        </w:rPr>
        <w:t xml:space="preserve">Progress in Venum and Toxin Research </w:t>
      </w:r>
      <w:r>
        <w:rPr/>
        <w:t xml:space="preserve">(P. Gpoalkrishnakone and C. K. Ten Eds.). </w:t>
      </w:r>
      <w:r>
        <w:rPr>
          <w:rStyle w:val="Emphasis"/>
        </w:rPr>
        <w:t xml:space="preserve">National University of Singapore Publ. </w:t>
      </w:r>
      <w:r>
        <w:rPr/>
        <w:t xml:space="preserve">pp. 658-388. </w:t>
      </w:r>
    </w:p>
    <w:p>
      <w:pPr>
        <w:pStyle w:val="TextBody"/>
        <w:bidi w:val="0"/>
        <w:spacing w:before="0" w:after="283"/>
        <w:jc w:val="start"/>
        <w:rPr/>
      </w:pPr>
      <w:r>
        <w:rPr/>
        <w:t xml:space="preserve">Gangawane LV (2008) Glimpses of phytopathology for sustainable agriculture. </w:t>
      </w:r>
      <w:r>
        <w:rPr>
          <w:rStyle w:val="Emphasis"/>
        </w:rPr>
        <w:t xml:space="preserve">Indian Phytopath. </w:t>
      </w:r>
      <w:r>
        <w:rPr/>
        <w:t xml:space="preserve">61(1): 2-8. </w:t>
      </w:r>
    </w:p>
    <w:p>
      <w:pPr>
        <w:pStyle w:val="TextBody"/>
        <w:bidi w:val="0"/>
        <w:spacing w:before="0" w:after="283"/>
        <w:jc w:val="start"/>
        <w:rPr/>
      </w:pPr>
      <w:r>
        <w:rPr/>
        <w:t xml:space="preserve">Khanna HR and Chandra S (1992) Effect of homoeopathic on respiration of germinating fungal spores. </w:t>
      </w:r>
      <w:r>
        <w:rPr>
          <w:rStyle w:val="Emphasis"/>
        </w:rPr>
        <w:t xml:space="preserve">Ind. Phytopath. </w:t>
      </w:r>
      <w:r>
        <w:rPr/>
        <w:t xml:space="preserve">45(3): 348-353. </w:t>
      </w:r>
    </w:p>
    <w:p>
      <w:pPr>
        <w:pStyle w:val="TextBody"/>
        <w:bidi w:val="0"/>
        <w:spacing w:before="0" w:after="283"/>
        <w:jc w:val="start"/>
        <w:rPr/>
      </w:pPr>
      <w:r>
        <w:rPr/>
        <w:t xml:space="preserve">Khanna KK and Chandra S (1989) Further investigations of the control of storage rot of mango, guava and tomato fruits with homeopathic drugs. </w:t>
      </w:r>
      <w:r>
        <w:rPr>
          <w:rStyle w:val="Emphasis"/>
        </w:rPr>
        <w:t xml:space="preserve">Indian Phytopathology. </w:t>
      </w:r>
      <w:r>
        <w:rPr/>
        <w:t xml:space="preserve">13: 436-440. </w:t>
      </w:r>
    </w:p>
    <w:p>
      <w:pPr>
        <w:pStyle w:val="TextBody"/>
        <w:bidi w:val="0"/>
        <w:spacing w:before="0" w:after="283"/>
        <w:jc w:val="start"/>
        <w:rPr/>
      </w:pPr>
      <w:r>
        <w:rPr/>
        <w:t xml:space="preserve">Nene YL and Thapliyal PN (1982) Fungicide in plant disease controls. </w:t>
      </w:r>
      <w:r>
        <w:rPr>
          <w:rStyle w:val="Emphasis"/>
        </w:rPr>
        <w:t xml:space="preserve">Oxford and IBH Publ. Co. Pvt. New Delhi </w:t>
      </w:r>
      <w:r>
        <w:rPr/>
        <w:t xml:space="preserve">. 212- 349. </w:t>
      </w:r>
    </w:p>
    <w:p>
      <w:pPr>
        <w:pStyle w:val="TextBody"/>
        <w:bidi w:val="0"/>
        <w:spacing w:before="0" w:after="283"/>
        <w:jc w:val="start"/>
        <w:rPr/>
      </w:pPr>
      <w:r>
        <w:rPr/>
        <w:t xml:space="preserve">Patil JS and Suryawanshi NS (2014) Fruit Rot of Strawberry Caused By </w:t>
      </w:r>
      <w:r>
        <w:rPr>
          <w:rStyle w:val="Emphasis"/>
        </w:rPr>
        <w:t xml:space="preserve">Alternaria Alternata </w:t>
      </w:r>
      <w:r>
        <w:rPr/>
        <w:t xml:space="preserve">Control Using Homoeopathic Medicines. </w:t>
      </w:r>
      <w:r>
        <w:rPr>
          <w:rStyle w:val="Emphasis"/>
        </w:rPr>
        <w:t xml:space="preserve">Int. J. of Pharmaceutical Sci. Invention . </w:t>
      </w:r>
      <w:r>
        <w:rPr/>
        <w:t xml:space="preserve">3(2): 57-58. </w:t>
      </w:r>
    </w:p>
    <w:p>
      <w:pPr>
        <w:pStyle w:val="TextBody"/>
        <w:bidi w:val="0"/>
        <w:spacing w:before="0" w:after="283"/>
        <w:jc w:val="start"/>
        <w:rPr/>
      </w:pPr>
      <w:r>
        <w:rPr/>
        <w:t xml:space="preserve">Singh D and Sharma RR (2007) Post harvest diseases of Fruits and Vegetables and their management. In: Prasad, D. (Ed.), Sustainable Pest Management”, Daya Publishing House, New Delhi, India. </w:t>
      </w:r>
    </w:p>
    <w:p>
      <w:pPr>
        <w:pStyle w:val="TextBody"/>
        <w:bidi w:val="0"/>
        <w:spacing w:before="0" w:after="283"/>
        <w:jc w:val="start"/>
        <w:rPr/>
      </w:pPr>
      <w:r>
        <w:rPr/>
        <w:t xml:space="preserve">Wilson Charles L, Michael E Wisniewski, Charles L Biles, Randy McLaughlin, Edo Chalutz and Samir Droby (1991) Biological control of post harvest diseases of fruits and vegetables: alternatives to synthetic fungicides. </w:t>
      </w:r>
      <w:r>
        <w:rPr>
          <w:rStyle w:val="Emphasis"/>
        </w:rPr>
        <w:t xml:space="preserve">Crop Protection </w:t>
      </w:r>
      <w:r>
        <w:rPr/>
        <w:t xml:space="preserve">. 10: 172-177.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https://assignbuster.com/homoeopathic-medicines-against-fruit-rot-of-apple/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Homoeopathic medicines against fruit rot...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eopathic-medicines-against-fruit-rot-of-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Homoeopathic medicines against fruit rot of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Homoeopathic medicines against fruit rot of apple</dc:title>
  <dc:subject>Others;</dc:subject>
  <dc:creator>AssignBuster</dc:creator>
  <cp:keywords/>
  <dc:description>Of 13 homoeopathic medicines were used for the management of carbendazim resistant mutant of Penicillium expansum.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