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"https://assignbuster.com/causes-of-the-second-world-war/"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Causes of the second world war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 xml:space="preserve">In order to achieve world domination aims, Hitler would have to break the Treaty of Versailles, which would, in turn, lead to war. </w:t>
        <w:br/>
        <w:t xml:space="preserve">Italy, Germany, and Japan were argumentative about Communism which was a cause for war. In Italy, Mussolini aimed to create a Fascist-Roman empire in Africa and the Mediterranean. At the same time, Japan wanted an empire that was Nipponese in China and the Pacific. </w:t>
        <w:br/>
        <w:br/>
        <w:t xml:space="preserve">Countries like the USA were isolated and France was reluctant to interfere against Germany as France did not rely on the support of America and Britain. </w:t>
        <w:br/>
        <w:t xml:space="preserve">The failure of the League of the Nations was another reason that led to World War II. The Second World War was caused due to the reasons listed above. However, Hitler’s aspirations, aims and the actions that he took are considered to be one of the main causes of the Second World War.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https://assignbuster.com/causes-of-the-second-world-war/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Causes of the second world war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Causes of the second world war</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Causes of the second world war</dc:title>
  <dc:subject>History;</dc:subject>
  <dc:creator>AssignBuster</dc:creator>
  <cp:keywords/>
  <dc:description>The failure of the League of the Nations was another reason that led to World War II.</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