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"https://assignbuster.com/treasury-foreign-exchange-and-trade-finance-essay-sample/"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Treasury, foreign exchange, and trade finance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Interest Rate Swaps or Hedging Arrangements must b made within 90 days of closing. </w:t>
      </w:r>
    </w:p>
    <w:p>
      <w:pPr>
        <w:pStyle w:val="TextBody"/>
        <w:bidi w:val="0"/>
        <w:spacing w:before="0" w:after="283"/>
        <w:jc w:val="start"/>
        <w:rPr/>
      </w:pPr>
      <w:r>
        <w:rPr/>
        <w:t xml:space="preserve">A total of $100 million must have a term of at least three years and an interest rate not to exceed 12 percent. </w:t>
      </w:r>
    </w:p>
    <w:p>
      <w:pPr>
        <w:pStyle w:val="TextBody"/>
        <w:bidi w:val="0"/>
        <w:spacing w:before="0" w:after="283"/>
        <w:jc w:val="start"/>
        <w:rPr/>
      </w:pPr>
      <w:r>
        <w:rPr/>
        <w:t xml:space="preserve">Note:  term of at least 3 years is insurance for the lender </w:t>
      </w:r>
    </w:p>
    <w:p>
      <w:pPr>
        <w:pStyle w:val="TextBody"/>
        <w:bidi w:val="0"/>
        <w:spacing w:before="0" w:after="283"/>
        <w:jc w:val="start"/>
        <w:rPr/>
      </w:pPr>
      <w:r>
        <w:rPr/>
        <w:t xml:space="preserve">Scheduled Repayment (in 28 quarterly installments beginning first quarter after 7-21-88): </w:t>
      </w:r>
    </w:p>
    <w:p>
      <w:pPr>
        <w:pStyle w:val="TextBody"/>
        <w:bidi w:val="0"/>
        <w:spacing w:before="0" w:after="283"/>
        <w:jc w:val="start"/>
        <w:rPr/>
      </w:pPr>
      <w:r>
        <w:rPr/>
        <w:t xml:space="preserve">Installments                1-20 @ 1. 75% each </w:t>
      </w:r>
    </w:p>
    <w:p>
      <w:pPr>
        <w:pStyle w:val="TextBody"/>
        <w:bidi w:val="0"/>
        <w:spacing w:before="0" w:after="283"/>
        <w:jc w:val="start"/>
        <w:rPr/>
      </w:pPr>
      <w:r>
        <w:rPr/>
        <w:t xml:space="preserve">Installments                21-27 @ 5. 00% each </w:t>
      </w:r>
    </w:p>
    <w:p>
      <w:pPr>
        <w:pStyle w:val="TextBody"/>
        <w:bidi w:val="0"/>
        <w:spacing w:before="0" w:after="283"/>
        <w:jc w:val="start"/>
        <w:rPr/>
      </w:pPr>
      <w:r>
        <w:rPr/>
        <w:t xml:space="preserve">Final Installment         28 @ 30% </w:t>
      </w:r>
    </w:p>
    <w:p>
      <w:pPr>
        <w:pStyle w:val="TextBody"/>
        <w:bidi w:val="0"/>
        <w:spacing w:before="0" w:after="283"/>
        <w:jc w:val="start"/>
        <w:rPr/>
      </w:pPr>
      <w:r>
        <w:rPr/>
        <w:t xml:space="preserve">Prepay is allowed. </w:t>
      </w:r>
    </w:p>
    <w:p>
      <w:pPr>
        <w:pStyle w:val="TextBody"/>
        <w:bidi w:val="0"/>
        <w:spacing w:before="0" w:after="283"/>
        <w:jc w:val="start"/>
        <w:rPr/>
      </w:pPr>
      <w:r>
        <w:rPr/>
        <w:t xml:space="preserve">Estimated interest rate and inflation forecast: </w:t>
      </w:r>
    </w:p>
    <w:p>
      <w:pPr>
        <w:pStyle w:val="TextBody"/>
        <w:numPr>
          <w:ilvl w:val="0"/>
          <w:numId w:val="1"/>
        </w:numPr>
        <w:tabs>
          <w:tab w:val="clear" w:pos="1134"/>
          <w:tab w:val="left" w:pos="707" w:leader="none"/>
        </w:tabs>
        <w:bidi w:val="0"/>
        <w:spacing w:before="0" w:after="0"/>
        <w:ind w:start="707" w:hanging="283"/>
        <w:jc w:val="both"/>
        <w:rPr/>
      </w:pPr>
      <w:r>
        <w:rPr/>
        <w:t xml:space="preserve">38 low to 7. 96 high </w:t>
      </w:r>
    </w:p>
    <w:p>
      <w:pPr>
        <w:pStyle w:val="TextBody"/>
        <w:numPr>
          <w:ilvl w:val="0"/>
          <w:numId w:val="1"/>
        </w:numPr>
        <w:tabs>
          <w:tab w:val="clear" w:pos="1134"/>
          <w:tab w:val="left" w:pos="707" w:leader="none"/>
        </w:tabs>
        <w:bidi w:val="0"/>
        <w:spacing w:before="0" w:after="0"/>
        <w:ind w:start="707" w:hanging="283"/>
        <w:jc w:val="both"/>
        <w:rPr/>
      </w:pPr>
      <w:r>
        <w:rPr/>
        <w:t xml:space="preserve">0 low to 9. 0   high </w:t>
      </w:r>
    </w:p>
    <w:p>
      <w:pPr>
        <w:pStyle w:val="TextBody"/>
        <w:numPr>
          <w:ilvl w:val="0"/>
          <w:numId w:val="1"/>
        </w:numPr>
        <w:tabs>
          <w:tab w:val="clear" w:pos="1134"/>
          <w:tab w:val="left" w:pos="707" w:leader="none"/>
        </w:tabs>
        <w:bidi w:val="0"/>
        <w:spacing w:before="0" w:after="0"/>
        <w:ind w:start="707" w:hanging="283"/>
        <w:jc w:val="both"/>
        <w:rPr/>
      </w:pPr>
      <w:r>
        <w:rPr/>
        <w:t xml:space="preserve">5 low to 9. 0   high </w:t>
      </w:r>
    </w:p>
    <w:p>
      <w:pPr>
        <w:pStyle w:val="TextBody"/>
        <w:numPr>
          <w:ilvl w:val="0"/>
          <w:numId w:val="1"/>
        </w:numPr>
        <w:tabs>
          <w:tab w:val="clear" w:pos="1134"/>
          <w:tab w:val="left" w:pos="707" w:leader="none"/>
        </w:tabs>
        <w:bidi w:val="0"/>
        <w:spacing w:before="0" w:after="0"/>
        <w:ind w:start="707" w:hanging="283"/>
        <w:jc w:val="both"/>
        <w:rPr/>
      </w:pPr>
      <w:r>
        <w:rPr/>
        <w:t xml:space="preserve">5 low to 8. 6   high </w:t>
      </w:r>
    </w:p>
    <w:p>
      <w:pPr>
        <w:pStyle w:val="TextBody"/>
        <w:numPr>
          <w:ilvl w:val="0"/>
          <w:numId w:val="1"/>
        </w:numPr>
        <w:tabs>
          <w:tab w:val="clear" w:pos="1134"/>
          <w:tab w:val="left" w:pos="707" w:leader="none"/>
        </w:tabs>
        <w:bidi w:val="0"/>
        <w:spacing w:before="0" w:after="0"/>
        <w:ind w:start="707" w:hanging="283"/>
        <w:jc w:val="both"/>
        <w:rPr/>
      </w:pPr>
      <w:r>
        <w:rPr/>
        <w:t xml:space="preserve">7 low to 9. 0   high </w:t>
      </w:r>
    </w:p>
    <w:p>
      <w:pPr>
        <w:pStyle w:val="TextBody"/>
        <w:numPr>
          <w:ilvl w:val="0"/>
          <w:numId w:val="1"/>
        </w:numPr>
        <w:tabs>
          <w:tab w:val="clear" w:pos="1134"/>
          <w:tab w:val="left" w:pos="707" w:leader="none"/>
        </w:tabs>
        <w:bidi w:val="0"/>
        <w:ind w:start="707" w:hanging="283"/>
        <w:jc w:val="both"/>
        <w:rPr/>
      </w:pPr>
      <w:r>
        <w:rPr/>
        <w:t xml:space="preserve">2 low to 10. 0 high </w:t>
      </w:r>
    </w:p>
    <w:p>
      <w:pPr>
        <w:pStyle w:val="TextBody"/>
        <w:bidi w:val="0"/>
        <w:jc w:val="start"/>
        <w:rPr/>
      </w:pPr>
      <w:r>
        <w:rPr/>
        <w:t xml:space="preserve">CRP estimates that it will be able to prepay between $11 and $23 million in each of the next 7 years.  Scheduled payments are approximately $14 million per year. </w:t>
      </w:r>
    </w:p>
    <w:p>
      <w:pPr>
        <w:pStyle w:val="TextBody"/>
        <w:bidi w:val="0"/>
        <w:spacing w:before="0" w:after="283"/>
        <w:jc w:val="start"/>
        <w:rPr/>
      </w:pPr>
      <w:r>
        <w:rPr/>
        <w:t xml:space="preserve">SWAPS </w:t>
      </w:r>
    </w:p>
    <w:p>
      <w:pPr>
        <w:pStyle w:val="TextBody"/>
        <w:bidi w:val="0"/>
        <w:spacing w:before="0" w:after="283"/>
        <w:jc w:val="start"/>
        <w:rPr/>
      </w:pPr>
      <w:r>
        <w:rPr/>
        <w:t xml:space="preserve">Total Annual Interest </w:t>
      </w:r>
    </w:p>
    <w:p>
      <w:pPr>
        <w:pStyle w:val="TextBody"/>
        <w:bidi w:val="0"/>
        <w:spacing w:before="0" w:after="283"/>
        <w:jc w:val="start"/>
        <w:rPr/>
      </w:pPr>
      <w:r>
        <w:rPr/>
        <w:t xml:space="preserve">[P(FR)(8)] = Total Annual Interest </w:t>
      </w:r>
    </w:p>
    <w:p>
      <w:pPr>
        <w:pStyle w:val="TextBody"/>
        <w:bidi w:val="0"/>
        <w:spacing w:before="0" w:after="283"/>
        <w:jc w:val="start"/>
        <w:rPr/>
      </w:pPr>
      <w:r>
        <w:rPr/>
        <w:t xml:space="preserve">Total Repayment </w:t>
      </w:r>
    </w:p>
    <w:p>
      <w:pPr>
        <w:pStyle w:val="TextBody"/>
        <w:bidi w:val="0"/>
        <w:spacing w:before="0" w:after="283"/>
        <w:jc w:val="start"/>
        <w:rPr/>
      </w:pPr>
      <w:r>
        <w:rPr/>
        <w:t xml:space="preserve">[P(FR)(8) + P] = Total Repayment </w:t>
      </w:r>
    </w:p>
    <w:p>
      <w:pPr>
        <w:pStyle w:val="TextBody"/>
        <w:numPr>
          <w:ilvl w:val="0"/>
          <w:numId w:val="2"/>
        </w:numPr>
        <w:tabs>
          <w:tab w:val="clear" w:pos="1134"/>
          <w:tab w:val="left" w:pos="707" w:leader="none"/>
        </w:tabs>
        <w:bidi w:val="0"/>
        <w:ind w:start="707" w:hanging="283"/>
        <w:jc w:val="both"/>
        <w:rPr/>
      </w:pPr>
      <w:r>
        <w:rPr/>
        <w:t xml:space="preserve">2 year @ 8. 36% Treasury Rate and 9. 11% Swap Rate = 245, 497, 500 based on notional amount of $225, 000, 000 (Recapitalization Amount Financed) </w:t>
      </w:r>
    </w:p>
    <w:p>
      <w:pPr>
        <w:pStyle w:val="TextBody"/>
        <w:bidi w:val="0"/>
        <w:jc w:val="start"/>
        <w:rPr/>
      </w:pPr>
      <w:r>
        <w:rPr/>
        <w:t xml:space="preserve">Total Annual Interest = $163, 980, 000 </w:t>
      </w:r>
    </w:p>
    <w:p>
      <w:pPr>
        <w:pStyle w:val="TextBody"/>
        <w:bidi w:val="0"/>
        <w:spacing w:before="0" w:after="283"/>
        <w:jc w:val="start"/>
        <w:rPr/>
      </w:pPr>
      <w:r>
        <w:rPr/>
        <w:t xml:space="preserve">Total Interest and Principal Repayment = $388, 898, 000 </w:t>
      </w:r>
    </w:p>
    <w:p>
      <w:pPr>
        <w:pStyle w:val="TextBody"/>
        <w:numPr>
          <w:ilvl w:val="0"/>
          <w:numId w:val="3"/>
        </w:numPr>
        <w:tabs>
          <w:tab w:val="clear" w:pos="1134"/>
          <w:tab w:val="left" w:pos="707" w:leader="none"/>
        </w:tabs>
        <w:bidi w:val="0"/>
        <w:ind w:start="707" w:hanging="283"/>
        <w:jc w:val="both"/>
        <w:rPr/>
      </w:pPr>
      <w:r>
        <w:rPr/>
        <w:t xml:space="preserve">3 year @ 8. 43% Treasury Rate and 9. 31% Swap Rate = 245, 947, 500 </w:t>
      </w:r>
    </w:p>
    <w:p>
      <w:pPr>
        <w:pStyle w:val="TextBody"/>
        <w:bidi w:val="0"/>
        <w:jc w:val="start"/>
        <w:rPr/>
      </w:pPr>
      <w:r>
        <w:rPr/>
        <w:t xml:space="preserve">Amount Issued by Toronto Dominion:  $225, 000, 000 </w:t>
      </w:r>
    </w:p>
    <w:p>
      <w:pPr>
        <w:pStyle w:val="TextBody"/>
        <w:bidi w:val="0"/>
        <w:spacing w:before="0" w:after="283"/>
        <w:jc w:val="start"/>
        <w:rPr/>
      </w:pPr>
      <w:r>
        <w:rPr/>
        <w:t xml:space="preserve">Total Annual Interest = $251, 370, 000 </w:t>
      </w:r>
    </w:p>
    <w:p>
      <w:pPr>
        <w:pStyle w:val="TextBody"/>
        <w:bidi w:val="0"/>
        <w:spacing w:before="0" w:after="283"/>
        <w:jc w:val="start"/>
        <w:rPr/>
      </w:pPr>
      <w:r>
        <w:rPr/>
        <w:t xml:space="preserve">Total Interest and Repayment:  $476, 370, 000 </w:t>
      </w:r>
    </w:p>
    <w:p>
      <w:pPr>
        <w:pStyle w:val="TextBody"/>
        <w:bidi w:val="0"/>
        <w:spacing w:before="0" w:after="283"/>
        <w:jc w:val="start"/>
        <w:rPr/>
      </w:pPr>
      <w:r>
        <w:rPr/>
        <w:t xml:space="preserve">Installment System: </w:t>
      </w:r>
    </w:p>
    <w:p>
      <w:pPr>
        <w:pStyle w:val="TextBody"/>
        <w:bidi w:val="0"/>
        <w:spacing w:before="0" w:after="283"/>
        <w:jc w:val="start"/>
        <w:rPr/>
      </w:pPr>
      <w:r>
        <w:rPr/>
        <w:t xml:space="preserve">1-20 @ 1. 75%  = $8, 336, 475 </w:t>
      </w:r>
    </w:p>
    <w:p>
      <w:pPr>
        <w:pStyle w:val="TextBody"/>
        <w:bidi w:val="0"/>
        <w:spacing w:before="0" w:after="283"/>
        <w:jc w:val="start"/>
        <w:rPr/>
      </w:pPr>
      <w:r>
        <w:rPr/>
        <w:t xml:space="preserve">21. 27 @ 5%     = $23, 818, 500 </w:t>
      </w:r>
    </w:p>
    <w:p>
      <w:pPr>
        <w:pStyle w:val="TextBody"/>
        <w:bidi w:val="0"/>
        <w:spacing w:before="0" w:after="283"/>
        <w:jc w:val="start"/>
        <w:rPr/>
      </w:pPr>
      <w:r>
        <w:rPr/>
        <w:t xml:space="preserve">28   (1) @ 30% = $142, 911, 000 </w:t>
      </w:r>
    </w:p>
    <w:p>
      <w:pPr>
        <w:pStyle w:val="TextBody"/>
        <w:numPr>
          <w:ilvl w:val="0"/>
          <w:numId w:val="4"/>
        </w:numPr>
        <w:tabs>
          <w:tab w:val="clear" w:pos="1134"/>
          <w:tab w:val="left" w:pos="707" w:leader="none"/>
        </w:tabs>
        <w:bidi w:val="0"/>
        <w:ind w:start="707" w:hanging="283"/>
        <w:jc w:val="both"/>
        <w:rPr/>
      </w:pPr>
      <w:r>
        <w:rPr/>
        <w:t xml:space="preserve">4 year @ 8. 55% Treasury Rate and 9. 44% Swap Rate = $246, 240, 000 </w:t>
      </w:r>
    </w:p>
    <w:p>
      <w:pPr>
        <w:pStyle w:val="TextBody"/>
        <w:bidi w:val="0"/>
        <w:jc w:val="start"/>
        <w:rPr/>
      </w:pPr>
      <w:r>
        <w:rPr/>
        <w:t xml:space="preserve">Amount Issued by Toronto Dominion:  $225, 000, 000 </w:t>
      </w:r>
    </w:p>
    <w:p>
      <w:pPr>
        <w:pStyle w:val="TextBody"/>
        <w:bidi w:val="0"/>
        <w:spacing w:before="0" w:after="283"/>
        <w:jc w:val="start"/>
        <w:rPr/>
      </w:pPr>
      <w:r>
        <w:rPr/>
        <w:t xml:space="preserve">Total Annual Interest:  $371, 920, 896 </w:t>
      </w:r>
    </w:p>
    <w:p>
      <w:pPr>
        <w:pStyle w:val="TextBody"/>
        <w:bidi w:val="0"/>
        <w:spacing w:before="0" w:after="283"/>
        <w:jc w:val="start"/>
        <w:rPr/>
      </w:pPr>
      <w:r>
        <w:rPr/>
        <w:t xml:space="preserve">Total Interest and Principal Repayment:  $596, 920, 896 </w:t>
      </w:r>
    </w:p>
    <w:p>
      <w:pPr>
        <w:pStyle w:val="TextBody"/>
        <w:bidi w:val="0"/>
        <w:spacing w:before="0" w:after="283"/>
        <w:jc w:val="start"/>
        <w:rPr/>
      </w:pPr>
      <w:r>
        <w:rPr/>
        <w:t xml:space="preserve">Installment System: </w:t>
      </w:r>
    </w:p>
    <w:p>
      <w:pPr>
        <w:pStyle w:val="TextBody"/>
        <w:bidi w:val="0"/>
        <w:spacing w:before="0" w:after="283"/>
        <w:jc w:val="start"/>
        <w:rPr/>
      </w:pPr>
      <w:r>
        <w:rPr/>
        <w:t xml:space="preserve">1-20 @ 1. 75%            =   $10, 446, 115. 68 </w:t>
      </w:r>
    </w:p>
    <w:p>
      <w:pPr>
        <w:pStyle w:val="TextBody"/>
        <w:bidi w:val="0"/>
        <w:spacing w:before="0" w:after="283"/>
        <w:jc w:val="start"/>
        <w:rPr/>
      </w:pPr>
      <w:r>
        <w:rPr/>
        <w:t xml:space="preserve">21-27 @ 5%    = $29, 846, 044. 8 </w:t>
      </w:r>
    </w:p>
    <w:p>
      <w:pPr>
        <w:pStyle w:val="TextBody"/>
        <w:bidi w:val="0"/>
        <w:spacing w:before="0" w:after="283"/>
        <w:jc w:val="start"/>
        <w:rPr/>
      </w:pPr>
      <w:r>
        <w:rPr/>
        <w:t xml:space="preserve">28 (1) @ 30% =  $179, 076, 268. 8 </w:t>
      </w:r>
    </w:p>
    <w:tbl>
      <w:tblPr>
        <w:tblW w:w="14235" w:type="dxa"/>
        <w:jc w:val="start"/>
        <w:tblInd w:w="0" w:type="dxa"/>
        <w:tblLayout w:type="fixed"/>
        <w:tblCellMar>
          <w:top w:w="28" w:type="dxa"/>
          <w:start w:w="28" w:type="dxa"/>
          <w:bottom w:w="28" w:type="dxa"/>
          <w:end w:w="28" w:type="dxa"/>
        </w:tblCellMar>
      </w:tblPr>
      <w:tblGrid>
        <w:gridCol w:w="14081"/>
        <w:gridCol w:w="154"/>
      </w:tblGrid>
      <w:tr>
        <w:trPr/>
        <w:tc>
          <w:tcPr>
            <w:tcW w:w="14081" w:type="dxa"/>
            <w:tcBorders/>
            <w:vAlign w:val="center"/>
          </w:tcPr>
          <w:p>
            <w:pPr>
              <w:pStyle w:val="TableContents"/>
              <w:bidi w:val="0"/>
              <w:spacing w:before="0" w:after="283"/>
              <w:jc w:val="start"/>
              <w:rPr>
                <w:sz w:val="4"/>
                <w:szCs w:val="4"/>
              </w:rPr>
            </w:pPr>
            <w:r>
              <w:rPr>
                <w:sz w:val="4"/>
                <w:szCs w:val="4"/>
              </w:rPr>
            </w:r>
          </w:p>
        </w:tc>
        <w:tc>
          <w:tcPr>
            <w:tcW w:w="154" w:type="dxa"/>
            <w:tcBorders/>
          </w:tcPr>
          <w:p>
            <w:pPr>
              <w:pStyle w:val="TableContents"/>
              <w:bidi w:val="0"/>
              <w:spacing w:before="0" w:after="283"/>
              <w:jc w:val="start"/>
              <w:rPr>
                <w:sz w:val="4"/>
                <w:szCs w:val="4"/>
              </w:rPr>
            </w:pPr>
            <w:r>
              <w:rPr>
                <w:sz w:val="4"/>
                <w:szCs w:val="4"/>
              </w:rPr>
            </w:r>
          </w:p>
        </w:tc>
      </w:tr>
      <w:tr>
        <w:trPr/>
        <w:tc>
          <w:tcPr>
            <w:tcW w:w="14081" w:type="dxa"/>
            <w:tcBorders/>
            <w:vAlign w:val="center"/>
          </w:tcPr>
          <w:tbl>
            <w:tblPr>
              <w:tblW w:w="13980" w:type="dxa"/>
              <w:jc w:val="start"/>
              <w:tblInd w:w="0" w:type="dxa"/>
              <w:tblLayout w:type="fixed"/>
              <w:tblCellMar>
                <w:top w:w="28" w:type="dxa"/>
                <w:start w:w="28" w:type="dxa"/>
                <w:bottom w:w="28" w:type="dxa"/>
                <w:end w:w="28" w:type="dxa"/>
              </w:tblCellMar>
            </w:tblPr>
            <w:tblGrid>
              <w:gridCol w:w="13980"/>
            </w:tblGrid>
            <w:tr>
              <w:trPr/>
              <w:tc>
                <w:tcPr>
                  <w:tcW w:w="13980" w:type="dxa"/>
                  <w:tcBorders/>
                  <w:vAlign w:val="center"/>
                </w:tcPr>
                <w:p>
                  <w:pPr>
                    <w:pStyle w:val="TableContents"/>
                    <w:bidi w:val="0"/>
                    <w:spacing w:before="0" w:after="283"/>
                    <w:jc w:val="start"/>
                    <w:rPr/>
                  </w:pPr>
                  <w:r>
                    <w:rPr/>
                    <w:t xml:space="preserve">CRP makes payments to TD for agreed SWAP arrangement for X number of years unless loan is prepaid early. </w:t>
                  </w:r>
                </w:p>
              </w:tc>
            </w:tr>
          </w:tbl>
          <w:p>
            <w:pPr>
              <w:pStyle w:val="TableContents"/>
              <w:bidi w:val="0"/>
              <w:spacing w:before="0" w:after="283"/>
              <w:jc w:val="start"/>
              <w:rPr/>
            </w:pPr>
            <w:r>
              <w:rPr/>
            </w:r>
          </w:p>
        </w:tc>
        <w:tc>
          <w:tcPr>
            <w:tcW w:w="154" w:type="dxa"/>
            <w:tcBorders/>
            <w:vAlign w:val="center"/>
          </w:tcPr>
          <w:p>
            <w:pPr>
              <w:pStyle w:val="TableContents"/>
              <w:bidi w:val="0"/>
              <w:spacing w:before="0" w:after="283"/>
              <w:jc w:val="start"/>
              <w:rPr>
                <w:sz w:val="4"/>
                <w:szCs w:val="4"/>
              </w:rPr>
            </w:pPr>
            <w:r>
              <w:rPr>
                <w:sz w:val="4"/>
                <w:szCs w:val="4"/>
              </w:rPr>
            </w:r>
          </w:p>
        </w:tc>
      </w:tr>
    </w:tbl>
    <w:tbl>
      <w:tblPr>
        <w:tblW w:w="8760" w:type="dxa"/>
        <w:jc w:val="start"/>
        <w:tblInd w:w="0" w:type="dxa"/>
        <w:tblLayout w:type="fixed"/>
        <w:tblCellMar>
          <w:top w:w="28" w:type="dxa"/>
          <w:start w:w="28" w:type="dxa"/>
          <w:bottom w:w="28" w:type="dxa"/>
          <w:end w:w="28" w:type="dxa"/>
        </w:tblCellMar>
      </w:tblPr>
      <w:tblGrid>
        <w:gridCol w:w="1331"/>
        <w:gridCol w:w="911"/>
        <w:gridCol w:w="1617"/>
        <w:gridCol w:w="4901"/>
      </w:tblGrid>
      <w:tr>
        <w:trPr/>
        <w:tc>
          <w:tcPr>
            <w:tcW w:w="1331" w:type="dxa"/>
            <w:tcBorders/>
            <w:vAlign w:val="center"/>
          </w:tcPr>
          <w:p>
            <w:pPr>
              <w:pStyle w:val="TableContents"/>
              <w:bidi w:val="0"/>
              <w:spacing w:before="0" w:after="283"/>
              <w:jc w:val="start"/>
              <w:rPr>
                <w:sz w:val="4"/>
                <w:szCs w:val="4"/>
              </w:rPr>
            </w:pPr>
            <w:r>
              <w:rPr>
                <w:sz w:val="4"/>
                <w:szCs w:val="4"/>
              </w:rPr>
            </w:r>
          </w:p>
        </w:tc>
        <w:tc>
          <w:tcPr>
            <w:tcW w:w="911" w:type="dxa"/>
            <w:tcBorders/>
            <w:vAlign w:val="center"/>
          </w:tcPr>
          <w:p>
            <w:pPr>
              <w:pStyle w:val="TableContents"/>
              <w:bidi w:val="0"/>
              <w:spacing w:before="0" w:after="283"/>
              <w:jc w:val="start"/>
              <w:rPr>
                <w:sz w:val="4"/>
                <w:szCs w:val="4"/>
              </w:rPr>
            </w:pPr>
            <w:r>
              <w:rPr>
                <w:sz w:val="4"/>
                <w:szCs w:val="4"/>
              </w:rPr>
            </w:r>
          </w:p>
        </w:tc>
        <w:tc>
          <w:tcPr>
            <w:tcW w:w="1617" w:type="dxa"/>
            <w:tcBorders/>
            <w:vAlign w:val="center"/>
          </w:tcPr>
          <w:p>
            <w:pPr>
              <w:pStyle w:val="TableContents"/>
              <w:bidi w:val="0"/>
              <w:spacing w:before="0" w:after="283"/>
              <w:jc w:val="start"/>
              <w:rPr>
                <w:sz w:val="4"/>
                <w:szCs w:val="4"/>
              </w:rPr>
            </w:pPr>
            <w:r>
              <w:rPr>
                <w:sz w:val="4"/>
                <w:szCs w:val="4"/>
              </w:rPr>
            </w:r>
          </w:p>
        </w:tc>
        <w:tc>
          <w:tcPr>
            <w:tcW w:w="4901" w:type="dxa"/>
            <w:tcBorders/>
            <w:vAlign w:val="center"/>
          </w:tcPr>
          <w:p>
            <w:pPr>
              <w:pStyle w:val="TableContents"/>
              <w:bidi w:val="0"/>
              <w:spacing w:before="0" w:after="283"/>
              <w:jc w:val="start"/>
              <w:rPr>
                <w:sz w:val="4"/>
                <w:szCs w:val="4"/>
              </w:rPr>
            </w:pPr>
            <w:r>
              <w:rPr>
                <w:sz w:val="4"/>
                <w:szCs w:val="4"/>
              </w:rPr>
            </w:r>
          </w:p>
        </w:tc>
      </w:tr>
      <w:tr>
        <w:trPr/>
        <w:tc>
          <w:tcPr>
            <w:tcW w:w="1331" w:type="dxa"/>
            <w:tcBorders/>
            <w:vAlign w:val="center"/>
          </w:tcPr>
          <w:p>
            <w:pPr>
              <w:pStyle w:val="TableContents"/>
              <w:bidi w:val="0"/>
              <w:spacing w:before="0" w:after="283"/>
              <w:jc w:val="start"/>
              <w:rPr>
                <w:sz w:val="4"/>
                <w:szCs w:val="4"/>
              </w:rPr>
            </w:pPr>
            <w:r>
              <w:rPr>
                <w:sz w:val="4"/>
                <w:szCs w:val="4"/>
              </w:rPr>
            </w:r>
          </w:p>
        </w:tc>
        <w:tc>
          <w:tcPr>
            <w:tcW w:w="911" w:type="dxa"/>
            <w:vMerge w:val="restart"/>
            <w:tcBorders/>
            <w:vAlign w:val="center"/>
          </w:tcPr>
          <w:p>
            <w:pPr>
              <w:pStyle w:val="TableContents"/>
              <w:bidi w:val="0"/>
              <w:spacing w:before="0" w:after="283"/>
              <w:jc w:val="start"/>
              <w:rPr>
                <w:sz w:val="4"/>
                <w:szCs w:val="4"/>
              </w:rPr>
            </w:pPr>
            <w:r>
              <w:rPr>
                <w:sz w:val="4"/>
                <w:szCs w:val="4"/>
              </w:rPr>
            </w:r>
          </w:p>
        </w:tc>
        <w:tc>
          <w:tcPr>
            <w:tcW w:w="6518" w:type="dxa"/>
            <w:gridSpan w:val="2"/>
            <w:tcBorders/>
          </w:tcPr>
          <w:p>
            <w:pPr>
              <w:pStyle w:val="TableContents"/>
              <w:bidi w:val="0"/>
              <w:spacing w:before="0" w:after="283"/>
              <w:jc w:val="start"/>
              <w:rPr>
                <w:sz w:val="4"/>
                <w:szCs w:val="4"/>
              </w:rPr>
            </w:pPr>
            <w:r>
              <w:rPr>
                <w:sz w:val="4"/>
                <w:szCs w:val="4"/>
              </w:rPr>
            </w:r>
          </w:p>
        </w:tc>
      </w:tr>
      <w:tr>
        <w:trPr/>
        <w:tc>
          <w:tcPr>
            <w:tcW w:w="1331" w:type="dxa"/>
            <w:tcBorders/>
            <w:vAlign w:val="center"/>
          </w:tcPr>
          <w:p>
            <w:pPr>
              <w:pStyle w:val="TableContents"/>
              <w:bidi w:val="0"/>
              <w:spacing w:before="0" w:after="283"/>
              <w:jc w:val="start"/>
              <w:rPr>
                <w:sz w:val="4"/>
                <w:szCs w:val="4"/>
              </w:rPr>
            </w:pPr>
            <w:r>
              <w:rPr>
                <w:sz w:val="4"/>
                <w:szCs w:val="4"/>
              </w:rPr>
            </w:r>
          </w:p>
        </w:tc>
        <w:tc>
          <w:tcPr>
            <w:tcW w:w="911" w:type="dxa"/>
            <w:vMerge w:val="continue"/>
            <w:tcBorders/>
            <w:vAlign w:val="center"/>
          </w:tcPr>
          <w:p>
            <w:pPr>
              <w:pStyle w:val="TableContents"/>
              <w:bidi w:val="0"/>
              <w:spacing w:before="0" w:after="283"/>
              <w:jc w:val="start"/>
              <w:rPr>
                <w:sz w:val="4"/>
                <w:szCs w:val="4"/>
              </w:rPr>
            </w:pPr>
            <w:r>
              <w:rPr>
                <w:sz w:val="4"/>
                <w:szCs w:val="4"/>
              </w:rPr>
            </w:r>
          </w:p>
        </w:tc>
        <w:tc>
          <w:tcPr>
            <w:tcW w:w="1617" w:type="dxa"/>
            <w:tcBorders/>
            <w:vAlign w:val="center"/>
          </w:tcPr>
          <w:tbl>
            <w:tblPr>
              <w:tblW w:w="5000" w:type="pct"/>
              <w:jc w:val="start"/>
              <w:tblInd w:w="0" w:type="dxa"/>
              <w:tblLayout w:type="fixed"/>
              <w:tblCellMar>
                <w:top w:w="28" w:type="dxa"/>
                <w:start w:w="28" w:type="dxa"/>
                <w:bottom w:w="28" w:type="dxa"/>
                <w:end w:w="28" w:type="dxa"/>
              </w:tblCellMar>
            </w:tblPr>
            <w:tblGrid>
              <w:gridCol w:w="1561"/>
            </w:tblGrid>
            <w:tr>
              <w:trPr/>
              <w:tc>
                <w:tcPr>
                  <w:tcW w:w="1561" w:type="dxa"/>
                  <w:tcBorders/>
                  <w:vAlign w:val="center"/>
                </w:tcPr>
                <w:p>
                  <w:pPr>
                    <w:pStyle w:val="TableContents"/>
                    <w:bidi w:val="0"/>
                    <w:jc w:val="start"/>
                    <w:rPr/>
                  </w:pPr>
                  <w:r>
                    <w:rPr/>
                    <w:t xml:space="preserve">Toronto Dominion Issues Loan $225, 000, 000. </w:t>
                  </w:r>
                </w:p>
                <w:p>
                  <w:pPr>
                    <w:pStyle w:val="TableContents"/>
                    <w:bidi w:val="0"/>
                    <w:spacing w:before="0" w:after="283"/>
                    <w:jc w:val="start"/>
                    <w:rPr/>
                  </w:pPr>
                  <w:r>
                    <w:rPr/>
                    <w:t xml:space="preserve">Ex.  SWAP option 4:  $225, 000, 000 Issued by TD – CRP, INC. repays $596, 920, 896  principal and interest.  The principal has a term of 7 years and the interest 4 years to be repaid.  The recapitalizaton financing incorporates incorporates $90 million in subordinated debt. </w:t>
                  </w:r>
                </w:p>
              </w:tc>
            </w:tr>
          </w:tbl>
          <w:p>
            <w:pPr>
              <w:pStyle w:val="TableContents"/>
              <w:bidi w:val="0"/>
              <w:spacing w:before="0" w:after="283"/>
              <w:jc w:val="start"/>
              <w:rPr/>
            </w:pPr>
            <w:r>
              <w:rPr/>
            </w:r>
          </w:p>
        </w:tc>
        <w:tc>
          <w:tcPr>
            <w:tcW w:w="4901" w:type="dxa"/>
            <w:vMerge w:val="restart"/>
            <w:tcBorders/>
            <w:vAlign w:val="center"/>
          </w:tcPr>
          <w:p>
            <w:pPr>
              <w:pStyle w:val="TableContents"/>
              <w:bidi w:val="0"/>
              <w:spacing w:before="0" w:after="283"/>
              <w:jc w:val="start"/>
              <w:rPr>
                <w:sz w:val="4"/>
                <w:szCs w:val="4"/>
              </w:rPr>
            </w:pPr>
            <w:r>
              <w:rPr>
                <w:sz w:val="4"/>
                <w:szCs w:val="4"/>
              </w:rPr>
            </w:r>
          </w:p>
        </w:tc>
      </w:tr>
      <w:tr>
        <w:trPr/>
        <w:tc>
          <w:tcPr>
            <w:tcW w:w="1331" w:type="dxa"/>
            <w:tcBorders/>
            <w:vAlign w:val="center"/>
          </w:tcPr>
          <w:p>
            <w:pPr>
              <w:pStyle w:val="TableContents"/>
              <w:bidi w:val="0"/>
              <w:spacing w:before="0" w:after="283"/>
              <w:jc w:val="start"/>
              <w:rPr>
                <w:sz w:val="4"/>
                <w:szCs w:val="4"/>
              </w:rPr>
            </w:pPr>
            <w:r>
              <w:rPr>
                <w:sz w:val="4"/>
                <w:szCs w:val="4"/>
              </w:rPr>
            </w:r>
          </w:p>
        </w:tc>
        <w:tc>
          <w:tcPr>
            <w:tcW w:w="911" w:type="dxa"/>
            <w:tcBorders/>
          </w:tcPr>
          <w:p>
            <w:pPr>
              <w:pStyle w:val="TableContents"/>
              <w:bidi w:val="0"/>
              <w:spacing w:before="0" w:after="283"/>
              <w:jc w:val="start"/>
              <w:rPr>
                <w:sz w:val="4"/>
                <w:szCs w:val="4"/>
              </w:rPr>
            </w:pPr>
            <w:r>
              <w:rPr>
                <w:sz w:val="4"/>
                <w:szCs w:val="4"/>
              </w:rPr>
            </w:r>
          </w:p>
        </w:tc>
        <w:tc>
          <w:tcPr>
            <w:tcW w:w="1617" w:type="dxa"/>
            <w:tcBorders/>
          </w:tcPr>
          <w:p>
            <w:pPr>
              <w:pStyle w:val="TableContents"/>
              <w:bidi w:val="0"/>
              <w:spacing w:before="0" w:after="283"/>
              <w:jc w:val="start"/>
              <w:rPr>
                <w:sz w:val="4"/>
                <w:szCs w:val="4"/>
              </w:rPr>
            </w:pPr>
            <w:r>
              <w:rPr>
                <w:sz w:val="4"/>
                <w:szCs w:val="4"/>
              </w:rPr>
            </w:r>
          </w:p>
        </w:tc>
        <w:tc>
          <w:tcPr>
            <w:tcW w:w="4901" w:type="dxa"/>
            <w:vMerge w:val="continue"/>
            <w:tcBorders/>
            <w:vAlign w:val="center"/>
          </w:tcPr>
          <w:p>
            <w:pPr>
              <w:pStyle w:val="TableContents"/>
              <w:bidi w:val="0"/>
              <w:spacing w:before="0" w:after="283"/>
              <w:jc w:val="start"/>
              <w:rPr>
                <w:sz w:val="4"/>
                <w:szCs w:val="4"/>
              </w:rPr>
            </w:pPr>
            <w:r>
              <w:rPr>
                <w:sz w:val="4"/>
                <w:szCs w:val="4"/>
              </w:rPr>
            </w:r>
          </w:p>
        </w:tc>
      </w:tr>
    </w:tbl>
    <w:p>
      <w:pPr>
        <w:pStyle w:val="TextBody"/>
        <w:numPr>
          <w:ilvl w:val="0"/>
          <w:numId w:val="5"/>
        </w:numPr>
        <w:tabs>
          <w:tab w:val="clear" w:pos="1134"/>
          <w:tab w:val="left" w:pos="707" w:leader="none"/>
        </w:tabs>
        <w:bidi w:val="0"/>
        <w:ind w:start="707" w:hanging="283"/>
        <w:jc w:val="both"/>
        <w:rPr/>
      </w:pPr>
      <w:r>
        <w:rPr/>
        <w:t xml:space="preserve">5 year @ 8. 71% Treasury Rate and 9. 57% Swap Rate = 246, 532, 500 </w:t>
      </w:r>
    </w:p>
    <w:p>
      <w:pPr>
        <w:pStyle w:val="TextBody"/>
        <w:bidi w:val="0"/>
        <w:jc w:val="start"/>
        <w:rPr/>
      </w:pPr>
      <w:r>
        <w:rPr/>
        <w:t xml:space="preserve">Amount Issued by Toronto Dominion:  $225, 000, 000 </w:t>
      </w:r>
    </w:p>
    <w:p>
      <w:pPr>
        <w:pStyle w:val="TextBody"/>
        <w:bidi w:val="0"/>
        <w:spacing w:before="0" w:after="283"/>
        <w:jc w:val="start"/>
        <w:rPr/>
      </w:pPr>
      <w:r>
        <w:rPr/>
        <w:t xml:space="preserve">Total Annual Interest:  $430, 650, 000 </w:t>
      </w:r>
    </w:p>
    <w:p>
      <w:pPr>
        <w:pStyle w:val="TextBody"/>
        <w:bidi w:val="0"/>
        <w:spacing w:before="0" w:after="283"/>
        <w:jc w:val="start"/>
        <w:rPr/>
      </w:pPr>
      <w:r>
        <w:rPr/>
        <w:t xml:space="preserve">Total Interest and Principal Repayment:  $677, 182, 500 </w:t>
      </w:r>
    </w:p>
    <w:p>
      <w:pPr>
        <w:pStyle w:val="TextBody"/>
        <w:bidi w:val="0"/>
        <w:spacing w:before="0" w:after="283"/>
        <w:jc w:val="start"/>
        <w:rPr/>
      </w:pPr>
      <w:r>
        <w:rPr/>
        <w:t xml:space="preserve">Installment System: </w:t>
      </w:r>
    </w:p>
    <w:p>
      <w:pPr>
        <w:pStyle w:val="TextBody"/>
        <w:bidi w:val="0"/>
        <w:spacing w:before="0" w:after="283"/>
        <w:jc w:val="start"/>
        <w:rPr/>
      </w:pPr>
      <w:r>
        <w:rPr/>
        <w:t xml:space="preserve">1-20 @ 1. 75%  =   $11, 850, 693. 75 </w:t>
      </w:r>
    </w:p>
    <w:p>
      <w:pPr>
        <w:pStyle w:val="TextBody"/>
        <w:bidi w:val="0"/>
        <w:spacing w:before="0" w:after="283"/>
        <w:jc w:val="start"/>
        <w:rPr/>
      </w:pPr>
      <w:r>
        <w:rPr/>
        <w:t xml:space="preserve">21-27 @. =            $33, 859, 125 </w:t>
      </w:r>
    </w:p>
    <w:p>
      <w:pPr>
        <w:pStyle w:val="TextBody"/>
        <w:bidi w:val="0"/>
        <w:spacing w:before="0" w:after="283"/>
        <w:jc w:val="start"/>
        <w:rPr/>
      </w:pPr>
      <w:r>
        <w:rPr/>
        <w:t xml:space="preserve">28  (1)@  =           $203, 154, 750 </w:t>
      </w:r>
    </w:p>
    <w:p>
      <w:pPr>
        <w:pStyle w:val="TextBody"/>
        <w:bidi w:val="0"/>
        <w:spacing w:before="0" w:after="283"/>
        <w:jc w:val="start"/>
        <w:rPr/>
      </w:pPr>
      <w:r>
        <w:rPr/>
        <w:t xml:space="preserve">CAPS </w:t>
      </w:r>
    </w:p>
    <w:p>
      <w:pPr>
        <w:pStyle w:val="TextBody"/>
        <w:bidi w:val="0"/>
        <w:spacing w:before="0" w:after="283"/>
        <w:jc w:val="start"/>
        <w:rPr/>
      </w:pPr>
      <w:r>
        <w:rPr/>
        <w:t xml:space="preserve">Caps are not an option to consider.  The projected interest rates are not of concern.  The interest rate and inflation forecast for the next six years is not projected to go above 10. 0% and only be at 10% one time.  The cost incurred in obtaining the Caps would be unfruitful due to projections. </w:t>
      </w:r>
    </w:p>
    <w:p>
      <w:pPr>
        <w:pStyle w:val="TextBody"/>
        <w:bidi w:val="0"/>
        <w:spacing w:before="0" w:after="283"/>
        <w:jc w:val="start"/>
        <w:rPr/>
      </w:pPr>
      <w:r>
        <w:rPr/>
        <w:t xml:space="preserve">Collars </w:t>
      </w:r>
    </w:p>
    <w:p>
      <w:pPr>
        <w:pStyle w:val="TextBody"/>
        <w:bidi w:val="0"/>
        <w:spacing w:before="0" w:after="283"/>
        <w:jc w:val="start"/>
        <w:rPr/>
      </w:pPr>
      <w:r>
        <w:rPr/>
        <w:t xml:space="preserve">Background: </w:t>
      </w:r>
    </w:p>
    <w:p>
      <w:pPr>
        <w:pStyle w:val="TextBody"/>
        <w:bidi w:val="0"/>
        <w:spacing w:before="0" w:after="283"/>
        <w:jc w:val="start"/>
        <w:rPr/>
      </w:pPr>
      <w:r>
        <w:rPr/>
        <w:t xml:space="preserve">Option A                                                        Option B </w:t>
      </w:r>
    </w:p>
    <w:p>
      <w:pPr>
        <w:pStyle w:val="TextBody"/>
        <w:bidi w:val="0"/>
        <w:spacing w:before="0" w:after="283"/>
        <w:jc w:val="start"/>
        <w:rPr/>
      </w:pPr>
      <w:r>
        <w:rPr/>
        <w:t xml:space="preserve">Cap Rate:        11. 00%                                   Cap Rate:        10. 25% </w:t>
      </w:r>
    </w:p>
    <w:p>
      <w:pPr>
        <w:pStyle w:val="TextBody"/>
        <w:bidi w:val="0"/>
        <w:spacing w:before="0" w:after="283"/>
        <w:jc w:val="start"/>
        <w:rPr/>
      </w:pPr>
      <w:r>
        <w:rPr/>
        <w:t xml:space="preserve">Floor Rate:      8. 375%                                   Floor Rate:      8. 75% </w:t>
      </w:r>
    </w:p>
    <w:p>
      <w:pPr>
        <w:pStyle w:val="TextBody"/>
        <w:bidi w:val="0"/>
        <w:spacing w:before="0" w:after="283"/>
        <w:jc w:val="start"/>
        <w:rPr/>
      </w:pPr>
      <w:r>
        <w:rPr/>
        <w:t xml:space="preserve">Up-Front Fee: $0                                           Up-Front Fee: $0 </w:t>
      </w:r>
    </w:p>
    <w:p>
      <w:pPr>
        <w:pStyle w:val="TextBody"/>
        <w:bidi w:val="0"/>
        <w:spacing w:before="0" w:after="283"/>
        <w:jc w:val="start"/>
        <w:rPr/>
      </w:pPr>
      <w:r>
        <w:rPr/>
        <w:t xml:space="preserve">Maturity:         3 years                                    Maturity:         3 years </w:t>
      </w:r>
    </w:p>
    <w:p>
      <w:pPr>
        <w:pStyle w:val="TextBody"/>
        <w:bidi w:val="0"/>
        <w:spacing w:before="0" w:after="283"/>
        <w:jc w:val="start"/>
        <w:rPr/>
      </w:pPr>
      <w:r>
        <w:rPr/>
        <w:t xml:space="preserve">Maximum Option A </w:t>
      </w:r>
    </w:p>
    <w:p>
      <w:pPr>
        <w:pStyle w:val="TextBody"/>
        <w:bidi w:val="0"/>
        <w:spacing w:before="0" w:after="283"/>
        <w:jc w:val="start"/>
        <w:rPr/>
      </w:pPr>
      <w:r>
        <w:rPr/>
        <w:t xml:space="preserve">Cap Rate                        11. 00% </w:t>
      </w:r>
    </w:p>
    <w:p>
      <w:pPr>
        <w:pStyle w:val="TextBody"/>
        <w:bidi w:val="0"/>
        <w:spacing w:before="0" w:after="283"/>
        <w:jc w:val="start"/>
        <w:rPr/>
      </w:pPr>
      <w:r>
        <w:rPr/>
        <w:t xml:space="preserve">+LIBOR (S&amp;R)               2. 00 </w:t>
      </w:r>
    </w:p>
    <w:p>
      <w:pPr>
        <w:pStyle w:val="TextBody"/>
        <w:bidi w:val="0"/>
        <w:jc w:val="start"/>
        <w:rPr>
          <w:u w:val="single"/>
        </w:rPr>
      </w:pPr>
      <w:r>
        <w:rPr>
          <w:u w:val="single"/>
        </w:rPr>
        <w:t xml:space="preserve">+Amortized Up-Front        $0 </w:t>
      </w:r>
    </w:p>
    <w:p>
      <w:pPr>
        <w:pStyle w:val="TextBody"/>
        <w:bidi w:val="0"/>
        <w:spacing w:before="0" w:after="283"/>
        <w:jc w:val="start"/>
        <w:rPr/>
      </w:pPr>
      <w:r>
        <w:rPr/>
        <w:t xml:space="preserve">All-In Rate                     13. 00% </w:t>
      </w:r>
    </w:p>
    <w:p>
      <w:pPr>
        <w:pStyle w:val="TextBody"/>
        <w:bidi w:val="0"/>
        <w:spacing w:before="0" w:after="283"/>
        <w:jc w:val="start"/>
        <w:rPr/>
      </w:pPr>
      <w:r>
        <w:rPr/>
        <w:t xml:space="preserve">Minimum Option A </w:t>
      </w:r>
    </w:p>
    <w:p>
      <w:pPr>
        <w:pStyle w:val="TextBody"/>
        <w:bidi w:val="0"/>
        <w:spacing w:before="0" w:after="283"/>
        <w:jc w:val="start"/>
        <w:rPr/>
      </w:pPr>
      <w:r>
        <w:rPr/>
        <w:t xml:space="preserve">Floor Rate                              8. 375% </w:t>
      </w:r>
    </w:p>
    <w:p>
      <w:pPr>
        <w:pStyle w:val="TextBody"/>
        <w:bidi w:val="0"/>
        <w:spacing w:before="0" w:after="283"/>
        <w:jc w:val="start"/>
        <w:rPr/>
      </w:pPr>
      <w:r>
        <w:rPr/>
        <w:t xml:space="preserve">+LIBOR (S&amp;R)                       2. 00 </w:t>
      </w:r>
    </w:p>
    <w:p>
      <w:pPr>
        <w:pStyle w:val="TextBody"/>
        <w:bidi w:val="0"/>
        <w:jc w:val="start"/>
        <w:rPr>
          <w:u w:val="single"/>
        </w:rPr>
      </w:pPr>
      <w:r>
        <w:rPr>
          <w:u w:val="single"/>
        </w:rPr>
        <w:t xml:space="preserve">+Amortized Up-Front                $0 </w:t>
      </w:r>
    </w:p>
    <w:p>
      <w:pPr>
        <w:pStyle w:val="TextBody"/>
        <w:bidi w:val="0"/>
        <w:spacing w:before="0" w:after="283"/>
        <w:jc w:val="start"/>
        <w:rPr/>
      </w:pPr>
      <w:r>
        <w:rPr/>
        <w:t xml:space="preserve">All-IN Rate                       10. 375% </w:t>
      </w:r>
    </w:p>
    <w:p>
      <w:pPr>
        <w:pStyle w:val="TextBody"/>
        <w:bidi w:val="0"/>
        <w:spacing w:before="0" w:after="283"/>
        <w:jc w:val="start"/>
        <w:rPr/>
      </w:pPr>
      <w:r>
        <w:rPr/>
        <w:t xml:space="preserve">Option A is automatically ruled out because the All-In Rate is above 12% and it is the goal of the company to stay below this rate. </w:t>
      </w:r>
    </w:p>
    <w:p>
      <w:pPr>
        <w:pStyle w:val="TextBody"/>
        <w:bidi w:val="0"/>
        <w:spacing w:before="0" w:after="283"/>
        <w:jc w:val="start"/>
        <w:rPr/>
      </w:pPr>
      <w:r>
        <w:rPr/>
        <w:t xml:space="preserve">Collars (cont.) </w:t>
      </w:r>
    </w:p>
    <w:p>
      <w:pPr>
        <w:pStyle w:val="TextBody"/>
        <w:bidi w:val="0"/>
        <w:spacing w:before="0" w:after="283"/>
        <w:jc w:val="start"/>
        <w:rPr/>
      </w:pPr>
      <w:r>
        <w:rPr/>
        <w:t xml:space="preserve">Maximum Option B </w:t>
      </w:r>
    </w:p>
    <w:p>
      <w:pPr>
        <w:pStyle w:val="TextBody"/>
        <w:bidi w:val="0"/>
        <w:spacing w:before="0" w:after="283"/>
        <w:jc w:val="start"/>
        <w:rPr/>
      </w:pPr>
      <w:r>
        <w:rPr/>
        <w:t xml:space="preserve">Cap Rate                       10. 25% </w:t>
      </w:r>
    </w:p>
    <w:p>
      <w:pPr>
        <w:pStyle w:val="TextBody"/>
        <w:bidi w:val="0"/>
        <w:spacing w:before="0" w:after="283"/>
        <w:jc w:val="start"/>
        <w:rPr/>
      </w:pPr>
      <w:r>
        <w:rPr/>
        <w:t xml:space="preserve">+LIBOR (S&amp;R)               2. 00 </w:t>
      </w:r>
    </w:p>
    <w:p>
      <w:pPr>
        <w:pStyle w:val="TextBody"/>
        <w:bidi w:val="0"/>
        <w:jc w:val="start"/>
        <w:rPr>
          <w:u w:val="single"/>
        </w:rPr>
      </w:pPr>
      <w:r>
        <w:rPr>
          <w:u w:val="single"/>
        </w:rPr>
        <w:t xml:space="preserve">+Amortized Up-Front        $0 </w:t>
      </w:r>
    </w:p>
    <w:p>
      <w:pPr>
        <w:pStyle w:val="TextBody"/>
        <w:bidi w:val="0"/>
        <w:spacing w:before="0" w:after="283"/>
        <w:jc w:val="start"/>
        <w:rPr/>
      </w:pPr>
      <w:r>
        <w:rPr/>
        <w:t xml:space="preserve">All-In Rate                 12. 25% </w:t>
      </w:r>
    </w:p>
    <w:p>
      <w:pPr>
        <w:pStyle w:val="TextBody"/>
        <w:bidi w:val="0"/>
        <w:spacing w:before="0" w:after="283"/>
        <w:jc w:val="start"/>
        <w:rPr/>
      </w:pPr>
      <w:r>
        <w:rPr/>
        <w:t xml:space="preserve">Minimum Option B </w:t>
      </w:r>
    </w:p>
    <w:p>
      <w:pPr>
        <w:pStyle w:val="TextBody"/>
        <w:bidi w:val="0"/>
        <w:spacing w:before="0" w:after="283"/>
        <w:jc w:val="start"/>
        <w:rPr/>
      </w:pPr>
      <w:r>
        <w:rPr/>
        <w:t xml:space="preserve">Floor Rate                              8. 75% </w:t>
      </w:r>
    </w:p>
    <w:p>
      <w:pPr>
        <w:pStyle w:val="TextBody"/>
        <w:bidi w:val="0"/>
        <w:spacing w:before="0" w:after="283"/>
        <w:jc w:val="start"/>
        <w:rPr/>
      </w:pPr>
      <w:r>
        <w:rPr/>
        <w:t xml:space="preserve">+LIBOR (S&amp;R)                       2. 00 </w:t>
      </w:r>
    </w:p>
    <w:p>
      <w:pPr>
        <w:pStyle w:val="TextBody"/>
        <w:bidi w:val="0"/>
        <w:jc w:val="start"/>
        <w:rPr>
          <w:u w:val="single"/>
        </w:rPr>
      </w:pPr>
      <w:r>
        <w:rPr>
          <w:u w:val="single"/>
        </w:rPr>
        <w:t xml:space="preserve">+Amortized Up-Front                $0 </w:t>
      </w:r>
    </w:p>
    <w:p>
      <w:pPr>
        <w:pStyle w:val="TextBody"/>
        <w:bidi w:val="0"/>
        <w:spacing w:before="0" w:after="283"/>
        <w:jc w:val="start"/>
        <w:rPr/>
      </w:pPr>
      <w:r>
        <w:rPr/>
        <w:t xml:space="preserve">All-IN Rate                         10. 75% </w:t>
      </w:r>
    </w:p>
    <w:p>
      <w:pPr>
        <w:pStyle w:val="TextBody"/>
        <w:bidi w:val="0"/>
        <w:spacing w:before="0" w:after="283"/>
        <w:jc w:val="start"/>
        <w:rPr/>
      </w:pPr>
      <w:r>
        <w:rPr/>
        <w:t xml:space="preserve">Collars (cont.) </w:t>
      </w:r>
    </w:p>
    <w:p>
      <w:pPr>
        <w:pStyle w:val="TextBody"/>
        <w:bidi w:val="0"/>
        <w:spacing w:before="0" w:after="283"/>
        <w:jc w:val="start"/>
        <w:rPr/>
      </w:pPr>
      <w:r>
        <w:rPr/>
        <w:t xml:space="preserve">Option B: </w:t>
      </w:r>
    </w:p>
    <w:p>
      <w:pPr>
        <w:pStyle w:val="TextBody"/>
        <w:bidi w:val="0"/>
        <w:spacing w:before="0" w:after="283"/>
        <w:jc w:val="start"/>
        <w:rPr/>
      </w:pPr>
      <w:r>
        <w:rPr/>
        <w:t xml:space="preserve">Max. (All-In Rate) (P) = 12. 25% (225, 000, 000) = 330, 750, 000 = 555, 750, 000 Repayment (principal and interest) </w:t>
      </w:r>
    </w:p>
    <w:p>
      <w:pPr>
        <w:pStyle w:val="TextBody"/>
        <w:bidi w:val="0"/>
        <w:spacing w:before="0" w:after="283"/>
        <w:jc w:val="start"/>
        <w:rPr/>
      </w:pPr>
      <w:r>
        <w:rPr/>
        <w:t xml:space="preserve">Min. (All-In Rate) (P) = 10. 75% (225, 000, 000) = 290, 250, 000 = 515, 250, 000 Repayment (principal and interest) </w:t>
      </w:r>
    </w:p>
    <w:p>
      <w:pPr>
        <w:pStyle w:val="TextBody"/>
        <w:bidi w:val="0"/>
        <w:spacing w:before="0" w:after="283"/>
        <w:jc w:val="start"/>
        <w:rPr/>
      </w:pPr>
      <w:r>
        <w:rPr/>
        <w:t xml:space="preserve">Recommendations </w:t>
      </w:r>
    </w:p>
    <w:p>
      <w:pPr>
        <w:pStyle w:val="TextBody"/>
        <w:bidi w:val="0"/>
        <w:spacing w:before="0" w:after="283"/>
        <w:jc w:val="start"/>
        <w:rPr/>
      </w:pPr>
      <w:r>
        <w:rPr/>
        <w:t xml:space="preserve">3 Year Swap Plan </w:t>
      </w:r>
    </w:p>
    <w:p>
      <w:pPr>
        <w:pStyle w:val="TextBody"/>
        <w:numPr>
          <w:ilvl w:val="0"/>
          <w:numId w:val="6"/>
        </w:numPr>
        <w:tabs>
          <w:tab w:val="clear" w:pos="1134"/>
          <w:tab w:val="left" w:pos="707" w:leader="none"/>
        </w:tabs>
        <w:bidi w:val="0"/>
        <w:spacing w:before="0" w:after="0"/>
        <w:ind w:start="707" w:hanging="283"/>
        <w:jc w:val="both"/>
        <w:rPr/>
      </w:pPr>
      <w:r>
        <w:rPr/>
        <w:t xml:space="preserve">The min. repayment (principal and interest on the collars option B is higher than the 3 Year Swap Plan). </w:t>
      </w:r>
    </w:p>
    <w:p>
      <w:pPr>
        <w:pStyle w:val="TextBody"/>
        <w:numPr>
          <w:ilvl w:val="0"/>
          <w:numId w:val="6"/>
        </w:numPr>
        <w:tabs>
          <w:tab w:val="clear" w:pos="1134"/>
          <w:tab w:val="left" w:pos="707" w:leader="none"/>
        </w:tabs>
        <w:bidi w:val="0"/>
        <w:spacing w:before="0" w:after="0"/>
        <w:ind w:start="707" w:hanging="283"/>
        <w:jc w:val="both"/>
        <w:rPr/>
      </w:pPr>
      <w:r>
        <w:rPr/>
        <w:t xml:space="preserve">The interest on Option A in the Collars Strategies is greater than 12%. </w:t>
      </w:r>
    </w:p>
    <w:p>
      <w:pPr>
        <w:pStyle w:val="TextBody"/>
        <w:numPr>
          <w:ilvl w:val="0"/>
          <w:numId w:val="6"/>
        </w:numPr>
        <w:tabs>
          <w:tab w:val="clear" w:pos="1134"/>
          <w:tab w:val="left" w:pos="707" w:leader="none"/>
        </w:tabs>
        <w:bidi w:val="0"/>
        <w:ind w:start="707" w:hanging="283"/>
        <w:jc w:val="both"/>
        <w:rPr/>
      </w:pPr>
      <w:r>
        <w:rPr/>
        <w:t xml:space="preserve">The 3 year SWAP option can be paid off early through maximizing use of the prepay option. </w:t>
      </w:r>
    </w:p>
    <w:p>
      <w:pPr>
        <w:pStyle w:val="TextBody"/>
        <w:bidi w:val="0"/>
        <w:jc w:val="start"/>
        <w:rPr/>
      </w:pPr>
      <w:r>
        <w:rPr/>
        <w:t xml:space="preserve">Scheduled Payments (Principal and Interest) Estimated      Pre-Pay Estimated </w:t>
      </w:r>
    </w:p>
    <w:p>
      <w:pPr>
        <w:pStyle w:val="TextBody"/>
        <w:bidi w:val="0"/>
        <w:spacing w:before="0" w:after="283"/>
        <w:jc w:val="start"/>
        <w:rPr/>
      </w:pPr>
      <w:r>
        <w:rPr/>
        <w:t xml:space="preserve">1-20 @ 1. 75%  = $8, 336, 475                                                17, 000, 000 (340, 000, 000) </w:t>
      </w:r>
    </w:p>
    <w:p>
      <w:pPr>
        <w:pStyle w:val="TextBody"/>
        <w:bidi w:val="0"/>
        <w:spacing w:before="0" w:after="283"/>
        <w:jc w:val="start"/>
        <w:rPr/>
      </w:pPr>
      <w:r>
        <w:rPr/>
        <w:t xml:space="preserve">21-27 @ 5%     = $23, 818, 500                                              23, 000, 000 (138, 000, 000) </w:t>
      </w:r>
    </w:p>
    <w:p>
      <w:pPr>
        <w:pStyle w:val="TextBody"/>
        <w:bidi w:val="0"/>
        <w:spacing w:before="0" w:after="283"/>
        <w:jc w:val="start"/>
        <w:rPr/>
      </w:pPr>
      <w:r>
        <w:rPr/>
        <w:t xml:space="preserve">28   (1) @ 30% = $142, 911, 000                                                       -0- </w:t>
      </w:r>
    </w:p>
    <w:p>
      <w:pPr>
        <w:pStyle w:val="TextBody"/>
        <w:bidi w:val="0"/>
        <w:spacing w:before="0" w:after="283"/>
        <w:jc w:val="start"/>
        <w:rPr/>
      </w:pPr>
      <w:r>
        <w:rPr/>
        <w:t xml:space="preserve">Total Interest and Repayment:  $476, 370, 000 </w:t>
      </w:r>
    </w:p>
    <w:p>
      <w:pPr>
        <w:pStyle w:val="TextBody"/>
        <w:bidi w:val="0"/>
        <w:spacing w:before="0" w:after="283"/>
        <w:jc w:val="start"/>
        <w:rPr/>
      </w:pPr>
      <w:r>
        <w:rPr/>
        <w:t xml:space="preserve">CRP estimates that it will be able to prepay between $11 and $23 million in each of the next 7 years.  Scheduled payments are approximately $14 million per year. </w:t>
      </w:r>
    </w:p>
    <w:p>
      <w:pPr>
        <w:pStyle w:val="TextBody"/>
        <w:bidi w:val="0"/>
        <w:spacing w:before="0" w:after="283"/>
        <w:jc w:val="start"/>
        <w:rPr/>
      </w:pPr>
      <w:r>
        <w:rPr/>
        <w:t xml:space="preserve">Pro’s and Con’s of Each Instrument: </w:t>
      </w:r>
    </w:p>
    <w:p>
      <w:pPr>
        <w:pStyle w:val="TextBody"/>
        <w:bidi w:val="0"/>
        <w:spacing w:before="0" w:after="283"/>
        <w:jc w:val="start"/>
        <w:rPr/>
      </w:pPr>
      <w:r>
        <w:rPr/>
        <w:t xml:space="preserve">Swap </w:t>
      </w:r>
    </w:p>
    <w:p>
      <w:pPr>
        <w:pStyle w:val="TextBody"/>
        <w:numPr>
          <w:ilvl w:val="0"/>
          <w:numId w:val="7"/>
        </w:numPr>
        <w:tabs>
          <w:tab w:val="clear" w:pos="1134"/>
          <w:tab w:val="left" w:pos="707" w:leader="none"/>
        </w:tabs>
        <w:bidi w:val="0"/>
        <w:spacing w:before="0" w:after="0"/>
        <w:ind w:start="707" w:hanging="283"/>
        <w:jc w:val="both"/>
        <w:rPr/>
      </w:pPr>
      <w:r>
        <w:rPr/>
        <w:t xml:space="preserve">Advantage – no risk to worry about with the interest rates…they are locked in when the agreement is made.  These have become very popular. </w:t>
      </w:r>
    </w:p>
    <w:p>
      <w:pPr>
        <w:pStyle w:val="TextBody"/>
        <w:numPr>
          <w:ilvl w:val="0"/>
          <w:numId w:val="7"/>
        </w:numPr>
        <w:tabs>
          <w:tab w:val="clear" w:pos="1134"/>
          <w:tab w:val="left" w:pos="707" w:leader="none"/>
        </w:tabs>
        <w:bidi w:val="0"/>
        <w:ind w:start="707" w:hanging="283"/>
        <w:jc w:val="both"/>
        <w:rPr/>
      </w:pPr>
      <w:r>
        <w:rPr/>
        <w:t xml:space="preserve">Major Disadvantage – Someone defaulting on an agreement when a situation looks a little better on the other side with interest rates compared to what they are locked in for the term of their swap agreement. </w:t>
      </w:r>
    </w:p>
    <w:p>
      <w:pPr>
        <w:pStyle w:val="TextBody"/>
        <w:bidi w:val="0"/>
        <w:jc w:val="start"/>
        <w:rPr/>
      </w:pPr>
      <w:r>
        <w:rPr/>
        <w:t xml:space="preserve">Cap </w:t>
      </w:r>
    </w:p>
    <w:p>
      <w:pPr>
        <w:pStyle w:val="TextBody"/>
        <w:numPr>
          <w:ilvl w:val="0"/>
          <w:numId w:val="8"/>
        </w:numPr>
        <w:tabs>
          <w:tab w:val="clear" w:pos="1134"/>
          <w:tab w:val="left" w:pos="707" w:leader="none"/>
        </w:tabs>
        <w:bidi w:val="0"/>
        <w:spacing w:before="0" w:after="0"/>
        <w:ind w:start="707" w:hanging="283"/>
        <w:jc w:val="both"/>
        <w:rPr/>
      </w:pPr>
      <w:r>
        <w:rPr/>
        <w:t xml:space="preserve">Advantage – Provides insurance when interest rates can fluctuate in the market.  There is a CAP on what your interest rate will be, thus you are insured against fluctuations in the market. </w:t>
      </w:r>
    </w:p>
    <w:p>
      <w:pPr>
        <w:pStyle w:val="TextBody"/>
        <w:numPr>
          <w:ilvl w:val="0"/>
          <w:numId w:val="8"/>
        </w:numPr>
        <w:tabs>
          <w:tab w:val="clear" w:pos="1134"/>
          <w:tab w:val="left" w:pos="707" w:leader="none"/>
        </w:tabs>
        <w:bidi w:val="0"/>
        <w:spacing w:before="0" w:after="0"/>
        <w:ind w:start="707" w:hanging="283"/>
        <w:jc w:val="both"/>
        <w:rPr/>
      </w:pPr>
      <w:r>
        <w:rPr/>
        <w:t xml:space="preserve">Advantage – Offers benefits to both the lender and the contracting party. </w:t>
      </w:r>
    </w:p>
    <w:p>
      <w:pPr>
        <w:pStyle w:val="TextBody"/>
        <w:numPr>
          <w:ilvl w:val="0"/>
          <w:numId w:val="8"/>
        </w:numPr>
        <w:tabs>
          <w:tab w:val="clear" w:pos="1134"/>
          <w:tab w:val="left" w:pos="707" w:leader="none"/>
        </w:tabs>
        <w:bidi w:val="0"/>
        <w:ind w:start="707" w:hanging="283"/>
        <w:jc w:val="both"/>
        <w:rPr/>
      </w:pPr>
      <w:r>
        <w:rPr/>
        <w:t xml:space="preserve">Disadvantage – The price paid for the insurance against fluctuations may not be offset if there are not fluctuations to the company’s advantage. </w:t>
      </w:r>
    </w:p>
    <w:p>
      <w:pPr>
        <w:pStyle w:val="TextBody"/>
        <w:bidi w:val="0"/>
        <w:jc w:val="start"/>
        <w:rPr/>
      </w:pPr>
      <w:r>
        <w:rPr/>
        <w:t xml:space="preserve">Collars </w:t>
      </w:r>
    </w:p>
    <w:p>
      <w:pPr>
        <w:pStyle w:val="TextBody"/>
        <w:numPr>
          <w:ilvl w:val="0"/>
          <w:numId w:val="9"/>
        </w:numPr>
        <w:tabs>
          <w:tab w:val="clear" w:pos="1134"/>
          <w:tab w:val="left" w:pos="707" w:leader="none"/>
        </w:tabs>
        <w:bidi w:val="0"/>
        <w:spacing w:before="0" w:after="0"/>
        <w:ind w:start="707" w:hanging="283"/>
        <w:jc w:val="both"/>
        <w:rPr/>
      </w:pPr>
      <w:r>
        <w:rPr/>
        <w:t xml:space="preserve">Advantage – Provides the benefit of the Cap protection with no fee. </w:t>
      </w:r>
    </w:p>
    <w:p>
      <w:pPr>
        <w:pStyle w:val="TextBody"/>
        <w:numPr>
          <w:ilvl w:val="0"/>
          <w:numId w:val="9"/>
        </w:numPr>
        <w:tabs>
          <w:tab w:val="clear" w:pos="1134"/>
          <w:tab w:val="left" w:pos="707" w:leader="none"/>
        </w:tabs>
        <w:bidi w:val="0"/>
        <w:spacing w:before="0" w:after="283"/>
        <w:ind w:start="707" w:hanging="283"/>
        <w:jc w:val="both"/>
        <w:rPr/>
      </w:pPr>
      <w:r>
        <w:rPr/>
        <w:t xml:space="preserve">Disadvantage – Once the set rate is agreed upon and should the market take sharp downhill climbs…then the company can end up paying a lot of money out in interest lost back to the lender.  Could have the potential to be disastrous if the company is not financially prepared for the risks associated with this option.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https://assignbuster.com/treasury-foreign-exchange-and-trade-finance-essay-sample/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Treasury, foreign exchange, and trade fi...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Treasury, foreign exchange, and trade finance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foreign exchange, and trade finance essay sample</dc:title>
  <dc:subject>Finance;</dc:subject>
  <dc:creator>AssignBuster</dc:creator>
  <cp:keywords/>
  <dc:description>11% Swap Rate = 245, 497, 500 based on notional amount of $225, 000, 000 Total Annual Interest = $163, 980, 000 Total Interest and Principal Repayment...</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