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"https://assignbuster.com/pollution-and-permanent-consequences/"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and permanent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https://assignbuster.com/pollution-and-permanent-consequences/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and permanent consequences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permanent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permanent consequences</dc:title>
  <dc:subject>Environment;Pollution</dc:subject>
  <dc:creator>AssignBuster</dc:creator>
  <cp:keywords/>
  <dc:description>The effects may be minor, such as a blackening of the surface of monuments due to dust.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