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Chlorhexidine digluconate c34h54cl2n10o14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Bio Activity: </w:t>
      </w:r>
    </w:p>
    <w:tbl>
      <w:tblPr>
        <w:tblW w:w="3905" w:type="dxa"/>
        <w:jc w:val="start"/>
        <w:tblInd w:w="0" w:type="dxa"/>
        <w:tblLayout w:type="fixed"/>
        <w:tblCellMar>
          <w:top w:w="28" w:type="dxa"/>
          <w:start w:w="28" w:type="dxa"/>
          <w:bottom w:w="28" w:type="dxa"/>
          <w:end w:w="28" w:type="dxa"/>
        </w:tblCellMar>
      </w:tblPr>
      <w:tblGrid>
        <w:gridCol w:w="1844"/>
        <w:gridCol w:w="2061"/>
      </w:tblGrid>
      <w:tr>
        <w:trPr/>
        <w:tc>
          <w:tcPr>
            <w:tcW w:w="1844" w:type="dxa"/>
            <w:tcBorders/>
            <w:vAlign w:val="center"/>
          </w:tcPr>
          <w:p>
            <w:pPr>
              <w:pStyle w:val="TableContents"/>
              <w:bidi w:val="0"/>
              <w:spacing w:before="0" w:after="283"/>
              <w:jc w:val="start"/>
              <w:rPr/>
            </w:pPr>
            <w:r>
              <w:rPr/>
              <w:t xml:space="preserve">Molecular Formula </w:t>
            </w:r>
          </w:p>
        </w:tc>
        <w:tc>
          <w:tcPr>
            <w:tcW w:w="2061" w:type="dxa"/>
            <w:tcBorders/>
            <w:vAlign w:val="center"/>
          </w:tcPr>
          <w:p>
            <w:pPr>
              <w:pStyle w:val="TableContents"/>
              <w:bidi w:val="0"/>
              <w:spacing w:before="0" w:after="283"/>
              <w:jc w:val="start"/>
              <w:rPr/>
            </w:pPr>
            <w:r>
              <w:rPr/>
              <w:t xml:space="preserve">C </w:t>
            </w:r>
            <w:r>
              <w:rPr>
                <w:position w:val="-2"/>
                <w:sz w:val="19"/>
              </w:rPr>
              <w:t xml:space="preserve">34 </w:t>
            </w:r>
            <w:r>
              <w:rPr/>
              <w:t xml:space="preserve">H </w:t>
            </w:r>
            <w:r>
              <w:rPr>
                <w:position w:val="-2"/>
                <w:sz w:val="19"/>
              </w:rPr>
              <w:t xml:space="preserve">54 </w:t>
            </w:r>
            <w:r>
              <w:rPr/>
              <w:t xml:space="preserve">Cl </w:t>
            </w:r>
            <w:r>
              <w:rPr>
                <w:position w:val="-2"/>
                <w:sz w:val="19"/>
              </w:rPr>
              <w:t xml:space="preserve">2 </w:t>
            </w:r>
            <w:r>
              <w:rPr/>
              <w:t xml:space="preserve">N </w:t>
            </w:r>
            <w:r>
              <w:rPr>
                <w:position w:val="-2"/>
                <w:sz w:val="19"/>
              </w:rPr>
              <w:t xml:space="preserve">10 </w:t>
            </w:r>
            <w:r>
              <w:rPr/>
              <w:t xml:space="preserve">O </w:t>
            </w:r>
            <w:r>
              <w:rPr>
                <w:position w:val="-2"/>
                <w:sz w:val="19"/>
              </w:rPr>
              <w:t xml:space="preserve">14 </w:t>
            </w:r>
          </w:p>
        </w:tc>
      </w:tr>
      <w:tr>
        <w:trPr/>
        <w:tc>
          <w:tcPr>
            <w:tcW w:w="1844" w:type="dxa"/>
            <w:tcBorders/>
            <w:vAlign w:val="center"/>
          </w:tcPr>
          <w:p>
            <w:pPr>
              <w:pStyle w:val="TableContents"/>
              <w:bidi w:val="0"/>
              <w:spacing w:before="0" w:after="283"/>
              <w:jc w:val="start"/>
              <w:rPr/>
            </w:pPr>
            <w:r>
              <w:rPr/>
              <w:t xml:space="preserve">Average mass </w:t>
            </w:r>
          </w:p>
        </w:tc>
        <w:tc>
          <w:tcPr>
            <w:tcW w:w="2061" w:type="dxa"/>
            <w:tcBorders/>
            <w:vAlign w:val="center"/>
          </w:tcPr>
          <w:p>
            <w:pPr>
              <w:pStyle w:val="TableContents"/>
              <w:bidi w:val="0"/>
              <w:spacing w:before="0" w:after="283"/>
              <w:jc w:val="start"/>
              <w:rPr/>
            </w:pPr>
            <w:r>
              <w:rPr/>
              <w:t xml:space="preserve">897. 757 Da </w:t>
            </w:r>
          </w:p>
        </w:tc>
      </w:tr>
      <w:tr>
        <w:trPr/>
        <w:tc>
          <w:tcPr>
            <w:tcW w:w="1844" w:type="dxa"/>
            <w:tcBorders/>
            <w:vAlign w:val="center"/>
          </w:tcPr>
          <w:p>
            <w:pPr>
              <w:pStyle w:val="TableContents"/>
              <w:bidi w:val="0"/>
              <w:spacing w:before="0" w:after="283"/>
              <w:jc w:val="start"/>
              <w:rPr/>
            </w:pPr>
            <w:r>
              <w:rPr/>
              <w:t xml:space="preserve">Density </w:t>
            </w:r>
          </w:p>
        </w:tc>
        <w:tc>
          <w:tcPr>
            <w:tcW w:w="2061" w:type="dxa"/>
            <w:tcBorders/>
            <w:vAlign w:val="center"/>
          </w:tcPr>
          <w:p>
            <w:pPr>
              <w:pStyle w:val="TableContents"/>
              <w:bidi w:val="0"/>
              <w:spacing w:before="0" w:after="283"/>
              <w:jc w:val="start"/>
              <w:rPr>
                <w:sz w:val="4"/>
                <w:szCs w:val="4"/>
              </w:rPr>
            </w:pPr>
            <w:r>
              <w:rPr>
                <w:sz w:val="4"/>
                <w:szCs w:val="4"/>
              </w:rPr>
            </w:r>
          </w:p>
        </w:tc>
      </w:tr>
      <w:tr>
        <w:trPr/>
        <w:tc>
          <w:tcPr>
            <w:tcW w:w="1844" w:type="dxa"/>
            <w:tcBorders/>
            <w:vAlign w:val="center"/>
          </w:tcPr>
          <w:p>
            <w:pPr>
              <w:pStyle w:val="TableContents"/>
              <w:bidi w:val="0"/>
              <w:spacing w:before="0" w:after="283"/>
              <w:jc w:val="start"/>
              <w:rPr/>
            </w:pPr>
            <w:r>
              <w:rPr/>
              <w:t xml:space="preserve">Boiling Point </w:t>
            </w:r>
          </w:p>
        </w:tc>
        <w:tc>
          <w:tcPr>
            <w:tcW w:w="2061" w:type="dxa"/>
            <w:tcBorders/>
            <w:vAlign w:val="center"/>
          </w:tcPr>
          <w:p>
            <w:pPr>
              <w:pStyle w:val="TableContents"/>
              <w:bidi w:val="0"/>
              <w:spacing w:before="0" w:after="283"/>
              <w:jc w:val="start"/>
              <w:rPr>
                <w:sz w:val="4"/>
                <w:szCs w:val="4"/>
              </w:rPr>
            </w:pPr>
            <w:r>
              <w:rPr>
                <w:sz w:val="4"/>
                <w:szCs w:val="4"/>
              </w:rPr>
            </w:r>
          </w:p>
        </w:tc>
      </w:tr>
      <w:tr>
        <w:trPr/>
        <w:tc>
          <w:tcPr>
            <w:tcW w:w="1844" w:type="dxa"/>
            <w:tcBorders/>
            <w:vAlign w:val="center"/>
          </w:tcPr>
          <w:p>
            <w:pPr>
              <w:pStyle w:val="TableContents"/>
              <w:bidi w:val="0"/>
              <w:spacing w:before="0" w:after="283"/>
              <w:jc w:val="start"/>
              <w:rPr/>
            </w:pPr>
            <w:r>
              <w:rPr/>
              <w:t xml:space="preserve">Flash Point </w:t>
            </w:r>
          </w:p>
        </w:tc>
        <w:tc>
          <w:tcPr>
            <w:tcW w:w="2061" w:type="dxa"/>
            <w:tcBorders/>
            <w:vAlign w:val="center"/>
          </w:tcPr>
          <w:p>
            <w:pPr>
              <w:pStyle w:val="TableContents"/>
              <w:bidi w:val="0"/>
              <w:spacing w:before="0" w:after="283"/>
              <w:jc w:val="start"/>
              <w:rPr>
                <w:sz w:val="4"/>
                <w:szCs w:val="4"/>
              </w:rPr>
            </w:pPr>
            <w:r>
              <w:rPr>
                <w:sz w:val="4"/>
                <w:szCs w:val="4"/>
              </w:rPr>
            </w:r>
          </w:p>
        </w:tc>
      </w:tr>
      <w:tr>
        <w:trPr/>
        <w:tc>
          <w:tcPr>
            <w:tcW w:w="1844" w:type="dxa"/>
            <w:tcBorders/>
            <w:vAlign w:val="center"/>
          </w:tcPr>
          <w:p>
            <w:pPr>
              <w:pStyle w:val="TableContents"/>
              <w:bidi w:val="0"/>
              <w:spacing w:before="0" w:after="283"/>
              <w:jc w:val="start"/>
              <w:rPr/>
            </w:pPr>
            <w:r>
              <w:rPr/>
              <w:t xml:space="preserve">Molar Refractivity </w:t>
            </w:r>
          </w:p>
        </w:tc>
        <w:tc>
          <w:tcPr>
            <w:tcW w:w="2061" w:type="dxa"/>
            <w:tcBorders/>
            <w:vAlign w:val="center"/>
          </w:tcPr>
          <w:p>
            <w:pPr>
              <w:pStyle w:val="TableContents"/>
              <w:bidi w:val="0"/>
              <w:spacing w:before="0" w:after="283"/>
              <w:jc w:val="start"/>
              <w:rPr>
                <w:sz w:val="4"/>
                <w:szCs w:val="4"/>
              </w:rPr>
            </w:pPr>
            <w:r>
              <w:rPr>
                <w:sz w:val="4"/>
                <w:szCs w:val="4"/>
              </w:rPr>
            </w:r>
          </w:p>
        </w:tc>
      </w:tr>
      <w:tr>
        <w:trPr/>
        <w:tc>
          <w:tcPr>
            <w:tcW w:w="1844" w:type="dxa"/>
            <w:tcBorders/>
            <w:vAlign w:val="center"/>
          </w:tcPr>
          <w:p>
            <w:pPr>
              <w:pStyle w:val="TableContents"/>
              <w:bidi w:val="0"/>
              <w:spacing w:before="0" w:after="283"/>
              <w:jc w:val="start"/>
              <w:rPr/>
            </w:pPr>
            <w:r>
              <w:rPr/>
              <w:t xml:space="preserve">Polarizability </w:t>
            </w:r>
          </w:p>
        </w:tc>
        <w:tc>
          <w:tcPr>
            <w:tcW w:w="2061" w:type="dxa"/>
            <w:tcBorders/>
            <w:vAlign w:val="center"/>
          </w:tcPr>
          <w:p>
            <w:pPr>
              <w:pStyle w:val="TableContents"/>
              <w:bidi w:val="0"/>
              <w:spacing w:before="0" w:after="283"/>
              <w:jc w:val="start"/>
              <w:rPr>
                <w:sz w:val="4"/>
                <w:szCs w:val="4"/>
              </w:rPr>
            </w:pPr>
            <w:r>
              <w:rPr>
                <w:sz w:val="4"/>
                <w:szCs w:val="4"/>
              </w:rPr>
            </w:r>
          </w:p>
        </w:tc>
      </w:tr>
      <w:tr>
        <w:trPr/>
        <w:tc>
          <w:tcPr>
            <w:tcW w:w="1844" w:type="dxa"/>
            <w:tcBorders/>
            <w:vAlign w:val="center"/>
          </w:tcPr>
          <w:p>
            <w:pPr>
              <w:pStyle w:val="TableContents"/>
              <w:bidi w:val="0"/>
              <w:spacing w:before="0" w:after="283"/>
              <w:jc w:val="start"/>
              <w:rPr/>
            </w:pPr>
            <w:r>
              <w:rPr/>
              <w:t xml:space="preserve">Surface Tension </w:t>
            </w:r>
          </w:p>
        </w:tc>
        <w:tc>
          <w:tcPr>
            <w:tcW w:w="2061" w:type="dxa"/>
            <w:tcBorders/>
            <w:vAlign w:val="center"/>
          </w:tcPr>
          <w:p>
            <w:pPr>
              <w:pStyle w:val="TableContents"/>
              <w:bidi w:val="0"/>
              <w:spacing w:before="0" w:after="283"/>
              <w:jc w:val="start"/>
              <w:rPr>
                <w:sz w:val="4"/>
                <w:szCs w:val="4"/>
              </w:rPr>
            </w:pPr>
            <w:r>
              <w:rPr>
                <w:sz w:val="4"/>
                <w:szCs w:val="4"/>
              </w:rPr>
            </w:r>
          </w:p>
        </w:tc>
      </w:tr>
      <w:tr>
        <w:trPr/>
        <w:tc>
          <w:tcPr>
            <w:tcW w:w="1844" w:type="dxa"/>
            <w:tcBorders/>
            <w:vAlign w:val="center"/>
          </w:tcPr>
          <w:p>
            <w:pPr>
              <w:pStyle w:val="TableContents"/>
              <w:bidi w:val="0"/>
              <w:spacing w:before="0" w:after="283"/>
              <w:jc w:val="start"/>
              <w:rPr/>
            </w:pPr>
            <w:r>
              <w:rPr/>
              <w:t xml:space="preserve">Molar Volume </w:t>
            </w:r>
          </w:p>
        </w:tc>
        <w:tc>
          <w:tcPr>
            <w:tcW w:w="2061" w:type="dxa"/>
            <w:tcBorders/>
            <w:vAlign w:val="center"/>
          </w:tcPr>
          <w:p>
            <w:pPr>
              <w:pStyle w:val="TableContents"/>
              <w:bidi w:val="0"/>
              <w:spacing w:before="0" w:after="283"/>
              <w:jc w:val="start"/>
              <w:rPr>
                <w:sz w:val="4"/>
                <w:szCs w:val="4"/>
              </w:rPr>
            </w:pPr>
            <w:r>
              <w:rPr>
                <w:sz w:val="4"/>
                <w:szCs w:val="4"/>
              </w:rPr>
            </w:r>
          </w:p>
        </w:tc>
      </w:tr>
    </w:tbl>
    <w:p>
      <w:pPr>
        <w:pStyle w:val="TextBody"/>
        <w:numPr>
          <w:ilvl w:val="0"/>
          <w:numId w:val="2"/>
        </w:numPr>
        <w:tabs>
          <w:tab w:val="clear" w:pos="1134"/>
          <w:tab w:val="left" w:pos="707" w:leader="none"/>
        </w:tabs>
        <w:bidi w:val="0"/>
        <w:spacing w:before="0" w:after="0"/>
        <w:ind w:start="707" w:hanging="283"/>
        <w:jc w:val="start"/>
        <w:rPr/>
      </w:pPr>
      <w:r>
        <w:rPr/>
        <w:t xml:space="preserve">Experimental data </w:t>
      </w:r>
    </w:p>
    <w:p>
      <w:pPr>
        <w:pStyle w:val="TextBody"/>
        <w:numPr>
          <w:ilvl w:val="0"/>
          <w:numId w:val="2"/>
        </w:numPr>
        <w:tabs>
          <w:tab w:val="clear" w:pos="1134"/>
          <w:tab w:val="left" w:pos="707" w:leader="none"/>
        </w:tabs>
        <w:bidi w:val="0"/>
        <w:spacing w:before="0" w:after="0"/>
        <w:ind w:start="707" w:hanging="283"/>
        <w:jc w:val="start"/>
        <w:rPr/>
      </w:pPr>
      <w:r>
        <w:rPr/>
        <w:t xml:space="preserve">Predicted – ACD/Labs </w:t>
      </w:r>
    </w:p>
    <w:p>
      <w:pPr>
        <w:pStyle w:val="TextBody"/>
        <w:numPr>
          <w:ilvl w:val="0"/>
          <w:numId w:val="2"/>
        </w:numPr>
        <w:tabs>
          <w:tab w:val="clear" w:pos="1134"/>
          <w:tab w:val="left" w:pos="707" w:leader="none"/>
        </w:tabs>
        <w:bidi w:val="0"/>
        <w:ind w:start="707" w:hanging="283"/>
        <w:jc w:val="start"/>
        <w:rPr/>
      </w:pPr>
      <w:r>
        <w:rPr/>
        <w:t xml:space="preserve">Predicted – ChemAxon </w:t>
      </w:r>
    </w:p>
    <w:p>
      <w:pPr>
        <w:pStyle w:val="TextBody"/>
        <w:numPr>
          <w:ilvl w:val="0"/>
          <w:numId w:val="3"/>
        </w:numPr>
        <w:tabs>
          <w:tab w:val="clear" w:pos="1134"/>
          <w:tab w:val="left" w:pos="707" w:leader="none"/>
        </w:tabs>
        <w:bidi w:val="0"/>
        <w:spacing w:before="0" w:after="0"/>
        <w:ind w:start="707" w:hanging="283"/>
        <w:jc w:val="start"/>
        <w:rPr/>
      </w:pPr>
      <w:r>
        <w:rPr/>
        <w:t xml:space="preserve">Experimental Physico-chemical Properties </w:t>
      </w:r>
    </w:p>
    <w:p>
      <w:pPr>
        <w:pStyle w:val="Heading2"/>
        <w:numPr>
          <w:ilvl w:val="1"/>
          <w:numId w:val="3"/>
        </w:numPr>
        <w:tabs>
          <w:tab w:val="clear" w:pos="1134"/>
          <w:tab w:val="left" w:pos="1414" w:leader="none"/>
        </w:tabs>
        <w:bidi w:val="0"/>
        <w:ind w:start="1414" w:hanging="283"/>
        <w:jc w:val="start"/>
        <w:rPr/>
      </w:pPr>
      <w:r>
        <w:rPr/>
        <w:t xml:space="preserve">Experimental Gravity: </w:t>
      </w:r>
    </w:p>
    <w:tbl>
      <w:tblPr>
        <w:tblW w:w="2911" w:type="dxa"/>
        <w:jc w:val="start"/>
        <w:tblInd w:w="1414" w:type="dxa"/>
        <w:tblLayout w:type="fixed"/>
        <w:tblCellMar>
          <w:top w:w="28" w:type="dxa"/>
          <w:start w:w="28" w:type="dxa"/>
          <w:bottom w:w="28" w:type="dxa"/>
          <w:end w:w="28" w:type="dxa"/>
        </w:tblCellMar>
      </w:tblPr>
      <w:tblGrid>
        <w:gridCol w:w="2911"/>
      </w:tblGrid>
      <w:tr>
        <w:trPr/>
        <w:tc>
          <w:tcPr>
            <w:tcW w:w="2911" w:type="dxa"/>
            <w:tcBorders/>
            <w:vAlign w:val="center"/>
          </w:tcPr>
          <w:p>
            <w:pPr>
              <w:pStyle w:val="TableContents"/>
              <w:bidi w:val="0"/>
              <w:spacing w:before="0" w:after="283"/>
              <w:jc w:val="start"/>
              <w:rPr/>
            </w:pPr>
            <w:r>
              <w:rPr/>
              <w:t xml:space="preserve">1. 06 g/mLAlfa Aesar41385 </w:t>
            </w:r>
          </w:p>
        </w:tc>
      </w:tr>
    </w:tbl>
    <w:p>
      <w:pPr>
        <w:pStyle w:val="Heading2"/>
        <w:numPr>
          <w:ilvl w:val="1"/>
          <w:numId w:val="3"/>
        </w:numPr>
        <w:tabs>
          <w:tab w:val="clear" w:pos="1134"/>
          <w:tab w:val="left" w:pos="1414" w:leader="none"/>
        </w:tabs>
        <w:bidi w:val="0"/>
        <w:ind w:start="1414" w:hanging="283"/>
        <w:jc w:val="start"/>
        <w:rPr/>
      </w:pPr>
      <w:r>
        <w:rPr/>
        <w:t xml:space="preserve">Experimental Solubility: </w:t>
      </w:r>
    </w:p>
    <w:tbl>
      <w:tblPr>
        <w:tblW w:w="2491" w:type="dxa"/>
        <w:jc w:val="start"/>
        <w:tblInd w:w="1414" w:type="dxa"/>
        <w:tblLayout w:type="fixed"/>
        <w:tblCellMar>
          <w:top w:w="28" w:type="dxa"/>
          <w:start w:w="28" w:type="dxa"/>
          <w:bottom w:w="28" w:type="dxa"/>
          <w:end w:w="28" w:type="dxa"/>
        </w:tblCellMar>
      </w:tblPr>
      <w:tblGrid>
        <w:gridCol w:w="2491"/>
      </w:tblGrid>
      <w:tr>
        <w:trPr/>
        <w:tc>
          <w:tcPr>
            <w:tcW w:w="2491" w:type="dxa"/>
            <w:tcBorders/>
            <w:vAlign w:val="center"/>
          </w:tcPr>
          <w:p>
            <w:pPr>
              <w:pStyle w:val="TableContents"/>
              <w:bidi w:val="0"/>
              <w:spacing w:before="0" w:after="283"/>
              <w:jc w:val="start"/>
              <w:rPr/>
            </w:pPr>
            <w:r>
              <w:rPr/>
              <w:t xml:space="preserve">10 mM in DMSOMedChem ExpressHY-B0608 </w:t>
            </w:r>
          </w:p>
        </w:tc>
      </w:tr>
      <w:tr>
        <w:trPr/>
        <w:tc>
          <w:tcPr>
            <w:tcW w:w="2491" w:type="dxa"/>
            <w:tcBorders/>
            <w:vAlign w:val="center"/>
          </w:tcPr>
          <w:p>
            <w:pPr>
              <w:pStyle w:val="TableContents"/>
              <w:bidi w:val="0"/>
              <w:spacing w:before="0" w:after="283"/>
              <w:jc w:val="start"/>
              <w:rPr/>
            </w:pPr>
            <w:r>
              <w:rPr/>
              <w:t xml:space="preserve">DMSO: 38mg/mLMedChem ExpressHY-B0608 </w:t>
            </w:r>
          </w:p>
        </w:tc>
      </w:tr>
    </w:tbl>
    <w:p>
      <w:pPr>
        <w:pStyle w:val="TextBody"/>
        <w:numPr>
          <w:ilvl w:val="0"/>
          <w:numId w:val="3"/>
        </w:numPr>
        <w:tabs>
          <w:tab w:val="clear" w:pos="1134"/>
          <w:tab w:val="left" w:pos="707" w:leader="none"/>
        </w:tabs>
        <w:bidi w:val="0"/>
        <w:spacing w:before="0" w:after="0"/>
        <w:ind w:start="707" w:hanging="283"/>
        <w:jc w:val="start"/>
        <w:rPr/>
      </w:pPr>
      <w:r>
        <w:rPr/>
        <w:t xml:space="preserve">Miscellaneous </w:t>
      </w:r>
    </w:p>
    <w:p>
      <w:pPr>
        <w:pStyle w:val="Heading2"/>
        <w:numPr>
          <w:ilvl w:val="1"/>
          <w:numId w:val="3"/>
        </w:numPr>
        <w:tabs>
          <w:tab w:val="clear" w:pos="1134"/>
          <w:tab w:val="left" w:pos="1414" w:leader="none"/>
        </w:tabs>
        <w:bidi w:val="0"/>
        <w:ind w:start="1414" w:hanging="283"/>
        <w:jc w:val="start"/>
        <w:rPr/>
      </w:pPr>
      <w:r>
        <w:rPr/>
        <w:t xml:space="preserve">Safety: </w:t>
      </w:r>
    </w:p>
    <w:tbl>
      <w:tblPr>
        <w:tblW w:w="2491" w:type="dxa"/>
        <w:jc w:val="start"/>
        <w:tblInd w:w="1414" w:type="dxa"/>
        <w:tblLayout w:type="fixed"/>
        <w:tblCellMar>
          <w:top w:w="28" w:type="dxa"/>
          <w:start w:w="28" w:type="dxa"/>
          <w:bottom w:w="28" w:type="dxa"/>
          <w:end w:w="28" w:type="dxa"/>
        </w:tblCellMar>
      </w:tblPr>
      <w:tblGrid>
        <w:gridCol w:w="2491"/>
      </w:tblGrid>
      <w:tr>
        <w:trPr/>
        <w:tc>
          <w:tcPr>
            <w:tcW w:w="2491" w:type="dxa"/>
            <w:tcBorders/>
            <w:vAlign w:val="center"/>
          </w:tcPr>
          <w:p>
            <w:pPr>
              <w:pStyle w:val="TableContents"/>
              <w:bidi w:val="0"/>
              <w:spacing w:before="0" w:after="283"/>
              <w:jc w:val="start"/>
              <w:rPr/>
            </w:pPr>
            <w:r>
              <w:rPr/>
              <w:t xml:space="preserve">WARNING: Irritates skin and eyes, not for human consumptionAlfa Aesar41385 </w:t>
            </w:r>
          </w:p>
        </w:tc>
      </w:tr>
    </w:tbl>
    <w:p>
      <w:pPr>
        <w:pStyle w:val="Heading2"/>
        <w:numPr>
          <w:ilvl w:val="1"/>
          <w:numId w:val="3"/>
        </w:numPr>
        <w:tabs>
          <w:tab w:val="clear" w:pos="1134"/>
          <w:tab w:val="left" w:pos="1414" w:leader="none"/>
        </w:tabs>
        <w:bidi w:val="0"/>
        <w:ind w:start="1414" w:hanging="283"/>
        <w:jc w:val="start"/>
        <w:rPr/>
      </w:pPr>
      <w:r>
        <w:rPr/>
        <w:t xml:space="preserve">Bio Activity: </w:t>
      </w:r>
    </w:p>
    <w:tbl>
      <w:tblPr>
        <w:tblW w:w="2491" w:type="dxa"/>
        <w:jc w:val="start"/>
        <w:tblInd w:w="1414" w:type="dxa"/>
        <w:tblLayout w:type="fixed"/>
        <w:tblCellMar>
          <w:top w:w="28" w:type="dxa"/>
          <w:start w:w="28" w:type="dxa"/>
          <w:bottom w:w="28" w:type="dxa"/>
          <w:end w:w="28" w:type="dxa"/>
        </w:tblCellMar>
      </w:tblPr>
      <w:tblGrid>
        <w:gridCol w:w="2491"/>
      </w:tblGrid>
      <w:tr>
        <w:trPr/>
        <w:tc>
          <w:tcPr>
            <w:tcW w:w="2491" w:type="dxa"/>
            <w:tcBorders/>
            <w:vAlign w:val="center"/>
          </w:tcPr>
          <w:p>
            <w:pPr>
              <w:pStyle w:val="TableContents"/>
              <w:bidi w:val="0"/>
              <w:spacing w:before="0" w:after="283"/>
              <w:jc w:val="start"/>
              <w:rPr/>
            </w:pPr>
            <w:r>
              <w:rPr/>
              <w:t xml:space="preserve">AntibacterialMedChem ExpressHY-B0608 </w:t>
            </w:r>
          </w:p>
        </w:tc>
      </w:tr>
      <w:tr>
        <w:trPr/>
        <w:tc>
          <w:tcPr>
            <w:tcW w:w="2491" w:type="dxa"/>
            <w:tcBorders/>
            <w:vAlign w:val="center"/>
          </w:tcPr>
          <w:p>
            <w:pPr>
              <w:pStyle w:val="TableContents"/>
              <w:bidi w:val="0"/>
              <w:spacing w:before="0" w:after="283"/>
              <w:jc w:val="start"/>
              <w:rPr/>
            </w:pPr>
            <w:r>
              <w:rPr/>
              <w:t xml:space="preserve">Anti-infectionMedChem ExpressHY-B0608 </w:t>
            </w:r>
          </w:p>
        </w:tc>
      </w:tr>
      <w:tr>
        <w:trPr/>
        <w:tc>
          <w:tcPr>
            <w:tcW w:w="2491" w:type="dxa"/>
            <w:tcBorders/>
            <w:vAlign w:val="center"/>
          </w:tcPr>
          <w:p>
            <w:pPr>
              <w:pStyle w:val="TableContents"/>
              <w:bidi w:val="0"/>
              <w:spacing w:before="0" w:after="283"/>
              <w:jc w:val="start"/>
              <w:rPr/>
            </w:pPr>
            <w:r>
              <w:rPr/>
              <w:t xml:space="preserve">Anti-infection; MedChem ExpressHY-B0608 </w:t>
            </w:r>
          </w:p>
        </w:tc>
      </w:tr>
      <w:tr>
        <w:trPr/>
        <w:tc>
          <w:tcPr>
            <w:tcW w:w="2491" w:type="dxa"/>
            <w:tcBorders/>
            <w:vAlign w:val="center"/>
          </w:tcPr>
          <w:p>
            <w:pPr>
              <w:pStyle w:val="TableContents"/>
              <w:bidi w:val="0"/>
              <w:spacing w:before="0" w:after="283"/>
              <w:jc w:val="start"/>
              <w:rPr/>
            </w:pPr>
            <w:r>
              <w:rPr/>
              <w:t xml:space="preserve">Chlorhexidine is an antiseptic effective against a wide variety of gram-negative and gram-positive organisms. MedChem Express </w:t>
            </w:r>
          </w:p>
        </w:tc>
      </w:tr>
      <w:tr>
        <w:trPr/>
        <w:tc>
          <w:tcPr>
            <w:tcW w:w="2491" w:type="dxa"/>
            <w:tcBorders/>
            <w:vAlign w:val="center"/>
          </w:tcPr>
          <w:p>
            <w:pPr>
              <w:pStyle w:val="TableContents"/>
              <w:bidi w:val="0"/>
              <w:spacing w:before="0" w:after="283"/>
              <w:jc w:val="start"/>
              <w:rPr/>
            </w:pPr>
            <w:r>
              <w:rPr/>
              <w:t xml:space="preserve">Chlorhexidine is an antiseptic effective against a wide variety of gram-negative and gram-positive organisms.; Target: Antibacterial; Chlorhexidine is a chemical antiseptic. It is effective on both Gram-positive and Gram-negative bacteria, although it is less effective with some Gram-negative bacteria. It has both bactericidal and bacteriostatic mechanisms of action, the mechanism of action being membrane disruption, not ATPase inactivation as previously thought. It is also useful against fungi and enveloped viruses, though this has not been extensively investigated. MedChem ExpressHY-B0608 </w:t>
            </w:r>
          </w:p>
        </w:tc>
      </w:tr>
      <w:tr>
        <w:trPr/>
        <w:tc>
          <w:tcPr>
            <w:tcW w:w="2491" w:type="dxa"/>
            <w:tcBorders/>
            <w:vAlign w:val="center"/>
          </w:tcPr>
          <w:p>
            <w:pPr>
              <w:pStyle w:val="TableContents"/>
              <w:bidi w:val="0"/>
              <w:spacing w:before="0" w:after="283"/>
              <w:jc w:val="start"/>
              <w:rPr/>
            </w:pPr>
            <w:r>
              <w:rPr/>
              <w:t xml:space="preserve">Chlorhexidine is an antiseptic effective against a wide variety of gram-negative and gram-positive organisms.; Target: AntibacterialChlorhexidine is a chemical antiseptic. It is effective on both Gram-positive and Gram-negative bacteria, although it is less effective with some Gram-negative bacteria. It has both bactericidal and bacteriostatic mechanisms of action, the mechanism of action being membrane disruption, not ATPase inactivation as previously thought. It is also useful against fungi and enveloped viruses, though this has not been extensively investigated. Chlorhexidine is harmful in high concentrations, but is used safely in low concentrations in many products, such as mouthwash and contact lens solutions [1, 2]. MedChem ExpressHY-B0608 </w:t>
            </w:r>
          </w:p>
        </w:tc>
      </w:tr>
    </w:tbl>
    <w:p>
      <w:pPr>
        <w:pStyle w:val="TextBody"/>
        <w:bidi w:val="0"/>
        <w:jc w:val="start"/>
        <w:rPr/>
      </w:pPr>
      <w:r>
        <w:rPr/>
        <w:t xml:space="preserve">Predicted data is generated using the ACD/Labs Percepta Platform – PhysChem Module </w:t>
      </w:r>
    </w:p>
    <w:p>
      <w:pPr>
        <w:pStyle w:val="TextBody"/>
        <w:bidi w:val="0"/>
        <w:spacing w:before="0" w:after="283"/>
        <w:jc w:val="start"/>
        <w:rPr/>
      </w:pPr>
      <w:r>
        <w:rPr/>
        <w:t xml:space="preserve">No predicted properties have been calculated for this compound.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3689"/>
        <w:gridCol w:w="215"/>
      </w:tblGrid>
      <w:tr>
        <w:trPr/>
        <w:tc>
          <w:tcPr>
            <w:tcW w:w="3689" w:type="dxa"/>
            <w:tcBorders/>
            <w:vAlign w:val="center"/>
          </w:tcPr>
          <w:p>
            <w:pPr>
              <w:pStyle w:val="TableContents"/>
              <w:bidi w:val="0"/>
              <w:spacing w:before="0" w:after="283"/>
              <w:jc w:val="start"/>
              <w:rPr/>
            </w:pPr>
            <w:r>
              <w:rPr/>
              <w:t xml:space="preserve">Density: </w:t>
            </w:r>
          </w:p>
        </w:tc>
        <w:tc>
          <w:tcPr>
            <w:tcW w:w="215" w:type="dxa"/>
            <w:tcBorders/>
            <w:vAlign w:val="center"/>
          </w:tcPr>
          <w:p>
            <w:pPr>
              <w:pStyle w:val="TableContents"/>
              <w:bidi w:val="0"/>
              <w:spacing w:before="0" w:after="283"/>
              <w:jc w:val="start"/>
              <w:rPr>
                <w:sz w:val="4"/>
                <w:szCs w:val="4"/>
              </w:rPr>
            </w:pPr>
            <w:r>
              <w:rPr>
                <w:sz w:val="4"/>
                <w:szCs w:val="4"/>
              </w:rPr>
            </w:r>
          </w:p>
        </w:tc>
      </w:tr>
      <w:tr>
        <w:trPr/>
        <w:tc>
          <w:tcPr>
            <w:tcW w:w="3689" w:type="dxa"/>
            <w:tcBorders/>
            <w:vAlign w:val="center"/>
          </w:tcPr>
          <w:p>
            <w:pPr>
              <w:pStyle w:val="TableContents"/>
              <w:bidi w:val="0"/>
              <w:spacing w:before="0" w:after="283"/>
              <w:jc w:val="start"/>
              <w:rPr/>
            </w:pPr>
            <w:r>
              <w:rPr/>
              <w:t xml:space="preserve">Boiling Point: </w:t>
            </w:r>
          </w:p>
        </w:tc>
        <w:tc>
          <w:tcPr>
            <w:tcW w:w="215" w:type="dxa"/>
            <w:tcBorders/>
            <w:vAlign w:val="center"/>
          </w:tcPr>
          <w:p>
            <w:pPr>
              <w:pStyle w:val="TableContents"/>
              <w:bidi w:val="0"/>
              <w:spacing w:before="0" w:after="283"/>
              <w:jc w:val="start"/>
              <w:rPr>
                <w:sz w:val="4"/>
                <w:szCs w:val="4"/>
              </w:rPr>
            </w:pPr>
            <w:r>
              <w:rPr>
                <w:sz w:val="4"/>
                <w:szCs w:val="4"/>
              </w:rPr>
            </w:r>
          </w:p>
        </w:tc>
      </w:tr>
      <w:tr>
        <w:trPr/>
        <w:tc>
          <w:tcPr>
            <w:tcW w:w="3689" w:type="dxa"/>
            <w:tcBorders/>
            <w:vAlign w:val="center"/>
          </w:tcPr>
          <w:p>
            <w:pPr>
              <w:pStyle w:val="TableContents"/>
              <w:bidi w:val="0"/>
              <w:spacing w:before="0" w:after="283"/>
              <w:jc w:val="start"/>
              <w:rPr/>
            </w:pPr>
            <w:r>
              <w:rPr/>
              <w:t xml:space="preserve">Vapour Pressure: </w:t>
            </w:r>
          </w:p>
        </w:tc>
        <w:tc>
          <w:tcPr>
            <w:tcW w:w="215" w:type="dxa"/>
            <w:tcBorders/>
            <w:vAlign w:val="center"/>
          </w:tcPr>
          <w:p>
            <w:pPr>
              <w:pStyle w:val="TableContents"/>
              <w:bidi w:val="0"/>
              <w:spacing w:before="0" w:after="283"/>
              <w:jc w:val="start"/>
              <w:rPr>
                <w:sz w:val="4"/>
                <w:szCs w:val="4"/>
              </w:rPr>
            </w:pPr>
            <w:r>
              <w:rPr>
                <w:sz w:val="4"/>
                <w:szCs w:val="4"/>
              </w:rPr>
            </w:r>
          </w:p>
        </w:tc>
      </w:tr>
      <w:tr>
        <w:trPr/>
        <w:tc>
          <w:tcPr>
            <w:tcW w:w="3689" w:type="dxa"/>
            <w:tcBorders/>
            <w:vAlign w:val="center"/>
          </w:tcPr>
          <w:p>
            <w:pPr>
              <w:pStyle w:val="TableContents"/>
              <w:bidi w:val="0"/>
              <w:spacing w:before="0" w:after="283"/>
              <w:jc w:val="start"/>
              <w:rPr/>
            </w:pPr>
            <w:r>
              <w:rPr/>
              <w:t xml:space="preserve">Enthalpy of Vaporization: </w:t>
            </w:r>
          </w:p>
        </w:tc>
        <w:tc>
          <w:tcPr>
            <w:tcW w:w="215" w:type="dxa"/>
            <w:tcBorders/>
            <w:vAlign w:val="center"/>
          </w:tcPr>
          <w:p>
            <w:pPr>
              <w:pStyle w:val="TableContents"/>
              <w:bidi w:val="0"/>
              <w:spacing w:before="0" w:after="283"/>
              <w:jc w:val="start"/>
              <w:rPr>
                <w:sz w:val="4"/>
                <w:szCs w:val="4"/>
              </w:rPr>
            </w:pPr>
            <w:r>
              <w:rPr>
                <w:sz w:val="4"/>
                <w:szCs w:val="4"/>
              </w:rPr>
            </w:r>
          </w:p>
        </w:tc>
      </w:tr>
      <w:tr>
        <w:trPr/>
        <w:tc>
          <w:tcPr>
            <w:tcW w:w="3689" w:type="dxa"/>
            <w:tcBorders/>
            <w:vAlign w:val="center"/>
          </w:tcPr>
          <w:p>
            <w:pPr>
              <w:pStyle w:val="TableContents"/>
              <w:bidi w:val="0"/>
              <w:spacing w:before="0" w:after="283"/>
              <w:jc w:val="start"/>
              <w:rPr/>
            </w:pPr>
            <w:r>
              <w:rPr/>
              <w:t xml:space="preserve">Flash Point: </w:t>
            </w:r>
          </w:p>
        </w:tc>
        <w:tc>
          <w:tcPr>
            <w:tcW w:w="215" w:type="dxa"/>
            <w:tcBorders/>
            <w:vAlign w:val="center"/>
          </w:tcPr>
          <w:p>
            <w:pPr>
              <w:pStyle w:val="TableContents"/>
              <w:bidi w:val="0"/>
              <w:spacing w:before="0" w:after="283"/>
              <w:jc w:val="start"/>
              <w:rPr>
                <w:sz w:val="4"/>
                <w:szCs w:val="4"/>
              </w:rPr>
            </w:pPr>
            <w:r>
              <w:rPr>
                <w:sz w:val="4"/>
                <w:szCs w:val="4"/>
              </w:rPr>
            </w:r>
          </w:p>
        </w:tc>
      </w:tr>
      <w:tr>
        <w:trPr/>
        <w:tc>
          <w:tcPr>
            <w:tcW w:w="3689" w:type="dxa"/>
            <w:tcBorders/>
            <w:vAlign w:val="center"/>
          </w:tcPr>
          <w:p>
            <w:pPr>
              <w:pStyle w:val="TableContents"/>
              <w:bidi w:val="0"/>
              <w:spacing w:before="0" w:after="283"/>
              <w:jc w:val="start"/>
              <w:rPr/>
            </w:pPr>
            <w:r>
              <w:rPr/>
              <w:t xml:space="preserve">Index of Refraction: </w:t>
            </w:r>
          </w:p>
        </w:tc>
        <w:tc>
          <w:tcPr>
            <w:tcW w:w="215" w:type="dxa"/>
            <w:tcBorders/>
            <w:vAlign w:val="center"/>
          </w:tcPr>
          <w:p>
            <w:pPr>
              <w:pStyle w:val="TableContents"/>
              <w:bidi w:val="0"/>
              <w:spacing w:before="0" w:after="283"/>
              <w:jc w:val="start"/>
              <w:rPr>
                <w:sz w:val="4"/>
                <w:szCs w:val="4"/>
              </w:rPr>
            </w:pPr>
            <w:r>
              <w:rPr>
                <w:sz w:val="4"/>
                <w:szCs w:val="4"/>
              </w:rPr>
            </w:r>
          </w:p>
        </w:tc>
      </w:tr>
      <w:tr>
        <w:trPr/>
        <w:tc>
          <w:tcPr>
            <w:tcW w:w="3689" w:type="dxa"/>
            <w:tcBorders/>
            <w:vAlign w:val="center"/>
          </w:tcPr>
          <w:p>
            <w:pPr>
              <w:pStyle w:val="TableContents"/>
              <w:bidi w:val="0"/>
              <w:spacing w:before="0" w:after="283"/>
              <w:jc w:val="start"/>
              <w:rPr/>
            </w:pPr>
            <w:r>
              <w:rPr/>
              <w:t xml:space="preserve">Molar Refractivity: </w:t>
            </w:r>
          </w:p>
        </w:tc>
        <w:tc>
          <w:tcPr>
            <w:tcW w:w="215" w:type="dxa"/>
            <w:tcBorders/>
            <w:vAlign w:val="center"/>
          </w:tcPr>
          <w:p>
            <w:pPr>
              <w:pStyle w:val="TableContents"/>
              <w:bidi w:val="0"/>
              <w:spacing w:before="0" w:after="283"/>
              <w:jc w:val="start"/>
              <w:rPr>
                <w:sz w:val="4"/>
                <w:szCs w:val="4"/>
              </w:rPr>
            </w:pPr>
            <w:r>
              <w:rPr>
                <w:sz w:val="4"/>
                <w:szCs w:val="4"/>
              </w:rPr>
            </w:r>
          </w:p>
        </w:tc>
      </w:tr>
      <w:tr>
        <w:trPr/>
        <w:tc>
          <w:tcPr>
            <w:tcW w:w="3689" w:type="dxa"/>
            <w:tcBorders/>
            <w:vAlign w:val="center"/>
          </w:tcPr>
          <w:p>
            <w:pPr>
              <w:pStyle w:val="TableContents"/>
              <w:bidi w:val="0"/>
              <w:spacing w:before="0" w:after="283"/>
              <w:jc w:val="start"/>
              <w:rPr/>
            </w:pPr>
            <w:r>
              <w:rPr/>
              <w:t xml:space="preserve">#H bond acceptors: </w:t>
            </w:r>
          </w:p>
        </w:tc>
        <w:tc>
          <w:tcPr>
            <w:tcW w:w="215" w:type="dxa"/>
            <w:tcBorders/>
            <w:vAlign w:val="center"/>
          </w:tcPr>
          <w:p>
            <w:pPr>
              <w:pStyle w:val="TableContents"/>
              <w:bidi w:val="0"/>
              <w:spacing w:before="0" w:after="283"/>
              <w:jc w:val="start"/>
              <w:rPr>
                <w:sz w:val="4"/>
                <w:szCs w:val="4"/>
              </w:rPr>
            </w:pPr>
            <w:r>
              <w:rPr>
                <w:sz w:val="4"/>
                <w:szCs w:val="4"/>
              </w:rPr>
            </w:r>
          </w:p>
        </w:tc>
      </w:tr>
      <w:tr>
        <w:trPr/>
        <w:tc>
          <w:tcPr>
            <w:tcW w:w="3689" w:type="dxa"/>
            <w:tcBorders/>
            <w:vAlign w:val="center"/>
          </w:tcPr>
          <w:p>
            <w:pPr>
              <w:pStyle w:val="TableContents"/>
              <w:bidi w:val="0"/>
              <w:spacing w:before="0" w:after="283"/>
              <w:jc w:val="start"/>
              <w:rPr/>
            </w:pPr>
            <w:r>
              <w:rPr/>
              <w:t xml:space="preserve">#H bond donors: </w:t>
            </w:r>
          </w:p>
        </w:tc>
        <w:tc>
          <w:tcPr>
            <w:tcW w:w="215" w:type="dxa"/>
            <w:tcBorders/>
            <w:vAlign w:val="center"/>
          </w:tcPr>
          <w:p>
            <w:pPr>
              <w:pStyle w:val="TableContents"/>
              <w:bidi w:val="0"/>
              <w:spacing w:before="0" w:after="283"/>
              <w:jc w:val="start"/>
              <w:rPr>
                <w:sz w:val="4"/>
                <w:szCs w:val="4"/>
              </w:rPr>
            </w:pPr>
            <w:r>
              <w:rPr>
                <w:sz w:val="4"/>
                <w:szCs w:val="4"/>
              </w:rPr>
            </w:r>
          </w:p>
        </w:tc>
      </w:tr>
      <w:tr>
        <w:trPr/>
        <w:tc>
          <w:tcPr>
            <w:tcW w:w="3689" w:type="dxa"/>
            <w:tcBorders/>
            <w:vAlign w:val="center"/>
          </w:tcPr>
          <w:p>
            <w:pPr>
              <w:pStyle w:val="TableContents"/>
              <w:bidi w:val="0"/>
              <w:spacing w:before="0" w:after="283"/>
              <w:jc w:val="start"/>
              <w:rPr/>
            </w:pPr>
            <w:r>
              <w:rPr/>
              <w:t xml:space="preserve">#Freely Rotating Bonds: </w:t>
            </w:r>
          </w:p>
        </w:tc>
        <w:tc>
          <w:tcPr>
            <w:tcW w:w="215" w:type="dxa"/>
            <w:tcBorders/>
            <w:vAlign w:val="center"/>
          </w:tcPr>
          <w:p>
            <w:pPr>
              <w:pStyle w:val="TableContents"/>
              <w:bidi w:val="0"/>
              <w:spacing w:before="0" w:after="283"/>
              <w:jc w:val="start"/>
              <w:rPr>
                <w:sz w:val="4"/>
                <w:szCs w:val="4"/>
              </w:rPr>
            </w:pPr>
            <w:r>
              <w:rPr>
                <w:sz w:val="4"/>
                <w:szCs w:val="4"/>
              </w:rPr>
            </w:r>
          </w:p>
        </w:tc>
      </w:tr>
      <w:tr>
        <w:trPr/>
        <w:tc>
          <w:tcPr>
            <w:tcW w:w="3689" w:type="dxa"/>
            <w:tcBorders/>
            <w:vAlign w:val="center"/>
          </w:tcPr>
          <w:p>
            <w:pPr>
              <w:pStyle w:val="TableContents"/>
              <w:bidi w:val="0"/>
              <w:spacing w:before="0" w:after="283"/>
              <w:jc w:val="start"/>
              <w:rPr/>
            </w:pPr>
            <w:r>
              <w:rPr/>
              <w:t xml:space="preserve">#Rule of 5 Violations: </w:t>
            </w:r>
          </w:p>
        </w:tc>
        <w:tc>
          <w:tcPr>
            <w:tcW w:w="215" w:type="dxa"/>
            <w:tcBorders/>
            <w:vAlign w:val="center"/>
          </w:tcPr>
          <w:p>
            <w:pPr>
              <w:pStyle w:val="TableContents"/>
              <w:bidi w:val="0"/>
              <w:spacing w:before="0" w:after="283"/>
              <w:jc w:val="start"/>
              <w:rPr>
                <w:sz w:val="4"/>
                <w:szCs w:val="4"/>
              </w:rPr>
            </w:pPr>
            <w:r>
              <w:rPr>
                <w:sz w:val="4"/>
                <w:szCs w:val="4"/>
              </w:rPr>
            </w:r>
          </w:p>
        </w:tc>
      </w:tr>
    </w:tbl>
    <w:tbl>
      <w:tblPr>
        <w:tblW w:w="5000" w:type="pct"/>
        <w:jc w:val="start"/>
        <w:tblInd w:w="0" w:type="dxa"/>
        <w:tblLayout w:type="fixed"/>
        <w:tblCellMar>
          <w:top w:w="28" w:type="dxa"/>
          <w:start w:w="28" w:type="dxa"/>
          <w:bottom w:w="28" w:type="dxa"/>
          <w:end w:w="28" w:type="dxa"/>
        </w:tblCellMar>
      </w:tblPr>
      <w:tblGrid>
        <w:gridCol w:w="3662"/>
        <w:gridCol w:w="242"/>
      </w:tblGrid>
      <w:tr>
        <w:trPr/>
        <w:tc>
          <w:tcPr>
            <w:tcW w:w="3662" w:type="dxa"/>
            <w:tcBorders/>
            <w:vAlign w:val="center"/>
          </w:tcPr>
          <w:p>
            <w:pPr>
              <w:pStyle w:val="TableContents"/>
              <w:bidi w:val="0"/>
              <w:spacing w:before="0" w:after="283"/>
              <w:jc w:val="start"/>
              <w:rPr/>
            </w:pPr>
            <w:r>
              <w:rPr/>
              <w:t xml:space="preserve">ACD/LogP: </w:t>
            </w:r>
          </w:p>
        </w:tc>
        <w:tc>
          <w:tcPr>
            <w:tcW w:w="242" w:type="dxa"/>
            <w:tcBorders/>
            <w:vAlign w:val="center"/>
          </w:tcPr>
          <w:p>
            <w:pPr>
              <w:pStyle w:val="TableContents"/>
              <w:bidi w:val="0"/>
              <w:spacing w:before="0" w:after="283"/>
              <w:jc w:val="start"/>
              <w:rPr>
                <w:sz w:val="4"/>
                <w:szCs w:val="4"/>
              </w:rPr>
            </w:pPr>
            <w:r>
              <w:rPr>
                <w:sz w:val="4"/>
                <w:szCs w:val="4"/>
              </w:rPr>
            </w:r>
          </w:p>
        </w:tc>
      </w:tr>
      <w:tr>
        <w:trPr/>
        <w:tc>
          <w:tcPr>
            <w:tcW w:w="3662" w:type="dxa"/>
            <w:tcBorders/>
            <w:vAlign w:val="center"/>
          </w:tcPr>
          <w:p>
            <w:pPr>
              <w:pStyle w:val="TableContents"/>
              <w:bidi w:val="0"/>
              <w:spacing w:before="0" w:after="283"/>
              <w:jc w:val="start"/>
              <w:rPr/>
            </w:pPr>
            <w:r>
              <w:rPr/>
              <w:t xml:space="preserve">ACD/LogD (pH 5. 5): </w:t>
            </w:r>
          </w:p>
        </w:tc>
        <w:tc>
          <w:tcPr>
            <w:tcW w:w="242" w:type="dxa"/>
            <w:tcBorders/>
            <w:vAlign w:val="center"/>
          </w:tcPr>
          <w:p>
            <w:pPr>
              <w:pStyle w:val="TableContents"/>
              <w:bidi w:val="0"/>
              <w:spacing w:before="0" w:after="283"/>
              <w:jc w:val="start"/>
              <w:rPr>
                <w:sz w:val="4"/>
                <w:szCs w:val="4"/>
              </w:rPr>
            </w:pPr>
            <w:r>
              <w:rPr>
                <w:sz w:val="4"/>
                <w:szCs w:val="4"/>
              </w:rPr>
            </w:r>
          </w:p>
        </w:tc>
      </w:tr>
      <w:tr>
        <w:trPr/>
        <w:tc>
          <w:tcPr>
            <w:tcW w:w="3662" w:type="dxa"/>
            <w:tcBorders/>
            <w:vAlign w:val="center"/>
          </w:tcPr>
          <w:p>
            <w:pPr>
              <w:pStyle w:val="TableContents"/>
              <w:bidi w:val="0"/>
              <w:spacing w:before="0" w:after="283"/>
              <w:jc w:val="start"/>
              <w:rPr/>
            </w:pPr>
            <w:r>
              <w:rPr/>
              <w:t xml:space="preserve">ACD/BCF (pH 5. 5): </w:t>
            </w:r>
          </w:p>
        </w:tc>
        <w:tc>
          <w:tcPr>
            <w:tcW w:w="242" w:type="dxa"/>
            <w:tcBorders/>
            <w:vAlign w:val="center"/>
          </w:tcPr>
          <w:p>
            <w:pPr>
              <w:pStyle w:val="TableContents"/>
              <w:bidi w:val="0"/>
              <w:spacing w:before="0" w:after="283"/>
              <w:jc w:val="start"/>
              <w:rPr>
                <w:sz w:val="4"/>
                <w:szCs w:val="4"/>
              </w:rPr>
            </w:pPr>
            <w:r>
              <w:rPr>
                <w:sz w:val="4"/>
                <w:szCs w:val="4"/>
              </w:rPr>
            </w:r>
          </w:p>
        </w:tc>
      </w:tr>
      <w:tr>
        <w:trPr/>
        <w:tc>
          <w:tcPr>
            <w:tcW w:w="3662" w:type="dxa"/>
            <w:tcBorders/>
            <w:vAlign w:val="center"/>
          </w:tcPr>
          <w:p>
            <w:pPr>
              <w:pStyle w:val="TableContents"/>
              <w:bidi w:val="0"/>
              <w:spacing w:before="0" w:after="283"/>
              <w:jc w:val="start"/>
              <w:rPr/>
            </w:pPr>
            <w:r>
              <w:rPr/>
              <w:t xml:space="preserve">ACD/KOC (pH 5. 5): </w:t>
            </w:r>
          </w:p>
        </w:tc>
        <w:tc>
          <w:tcPr>
            <w:tcW w:w="242" w:type="dxa"/>
            <w:tcBorders/>
            <w:vAlign w:val="center"/>
          </w:tcPr>
          <w:p>
            <w:pPr>
              <w:pStyle w:val="TableContents"/>
              <w:bidi w:val="0"/>
              <w:spacing w:before="0" w:after="283"/>
              <w:jc w:val="start"/>
              <w:rPr>
                <w:sz w:val="4"/>
                <w:szCs w:val="4"/>
              </w:rPr>
            </w:pPr>
            <w:r>
              <w:rPr>
                <w:sz w:val="4"/>
                <w:szCs w:val="4"/>
              </w:rPr>
            </w:r>
          </w:p>
        </w:tc>
      </w:tr>
      <w:tr>
        <w:trPr/>
        <w:tc>
          <w:tcPr>
            <w:tcW w:w="3662" w:type="dxa"/>
            <w:tcBorders/>
            <w:vAlign w:val="center"/>
          </w:tcPr>
          <w:p>
            <w:pPr>
              <w:pStyle w:val="TableContents"/>
              <w:bidi w:val="0"/>
              <w:spacing w:before="0" w:after="283"/>
              <w:jc w:val="start"/>
              <w:rPr/>
            </w:pPr>
            <w:r>
              <w:rPr/>
              <w:t xml:space="preserve">ACD/LogD (pH 7. 4): </w:t>
            </w:r>
          </w:p>
        </w:tc>
        <w:tc>
          <w:tcPr>
            <w:tcW w:w="242" w:type="dxa"/>
            <w:tcBorders/>
            <w:vAlign w:val="center"/>
          </w:tcPr>
          <w:p>
            <w:pPr>
              <w:pStyle w:val="TableContents"/>
              <w:bidi w:val="0"/>
              <w:spacing w:before="0" w:after="283"/>
              <w:jc w:val="start"/>
              <w:rPr>
                <w:sz w:val="4"/>
                <w:szCs w:val="4"/>
              </w:rPr>
            </w:pPr>
            <w:r>
              <w:rPr>
                <w:sz w:val="4"/>
                <w:szCs w:val="4"/>
              </w:rPr>
            </w:r>
          </w:p>
        </w:tc>
      </w:tr>
      <w:tr>
        <w:trPr/>
        <w:tc>
          <w:tcPr>
            <w:tcW w:w="3662" w:type="dxa"/>
            <w:tcBorders/>
            <w:vAlign w:val="center"/>
          </w:tcPr>
          <w:p>
            <w:pPr>
              <w:pStyle w:val="TableContents"/>
              <w:bidi w:val="0"/>
              <w:spacing w:before="0" w:after="283"/>
              <w:jc w:val="start"/>
              <w:rPr/>
            </w:pPr>
            <w:r>
              <w:rPr/>
              <w:t xml:space="preserve">ACD/BCF (pH 7. 4): </w:t>
            </w:r>
          </w:p>
        </w:tc>
        <w:tc>
          <w:tcPr>
            <w:tcW w:w="242" w:type="dxa"/>
            <w:tcBorders/>
            <w:vAlign w:val="center"/>
          </w:tcPr>
          <w:p>
            <w:pPr>
              <w:pStyle w:val="TableContents"/>
              <w:bidi w:val="0"/>
              <w:spacing w:before="0" w:after="283"/>
              <w:jc w:val="start"/>
              <w:rPr>
                <w:sz w:val="4"/>
                <w:szCs w:val="4"/>
              </w:rPr>
            </w:pPr>
            <w:r>
              <w:rPr>
                <w:sz w:val="4"/>
                <w:szCs w:val="4"/>
              </w:rPr>
            </w:r>
          </w:p>
        </w:tc>
      </w:tr>
      <w:tr>
        <w:trPr/>
        <w:tc>
          <w:tcPr>
            <w:tcW w:w="3662" w:type="dxa"/>
            <w:tcBorders/>
            <w:vAlign w:val="center"/>
          </w:tcPr>
          <w:p>
            <w:pPr>
              <w:pStyle w:val="TableContents"/>
              <w:bidi w:val="0"/>
              <w:spacing w:before="0" w:after="283"/>
              <w:jc w:val="start"/>
              <w:rPr/>
            </w:pPr>
            <w:r>
              <w:rPr/>
              <w:t xml:space="preserve">ACD/KOC (pH 7. 4): </w:t>
            </w:r>
          </w:p>
        </w:tc>
        <w:tc>
          <w:tcPr>
            <w:tcW w:w="242" w:type="dxa"/>
            <w:tcBorders/>
            <w:vAlign w:val="center"/>
          </w:tcPr>
          <w:p>
            <w:pPr>
              <w:pStyle w:val="TableContents"/>
              <w:bidi w:val="0"/>
              <w:spacing w:before="0" w:after="283"/>
              <w:jc w:val="start"/>
              <w:rPr>
                <w:sz w:val="4"/>
                <w:szCs w:val="4"/>
              </w:rPr>
            </w:pPr>
            <w:r>
              <w:rPr>
                <w:sz w:val="4"/>
                <w:szCs w:val="4"/>
              </w:rPr>
            </w:r>
          </w:p>
        </w:tc>
      </w:tr>
      <w:tr>
        <w:trPr/>
        <w:tc>
          <w:tcPr>
            <w:tcW w:w="3662" w:type="dxa"/>
            <w:tcBorders/>
            <w:vAlign w:val="center"/>
          </w:tcPr>
          <w:p>
            <w:pPr>
              <w:pStyle w:val="TableContents"/>
              <w:bidi w:val="0"/>
              <w:spacing w:before="0" w:after="283"/>
              <w:jc w:val="start"/>
              <w:rPr/>
            </w:pPr>
            <w:r>
              <w:rPr/>
              <w:t xml:space="preserve">Polar Surface Area: </w:t>
            </w:r>
          </w:p>
        </w:tc>
        <w:tc>
          <w:tcPr>
            <w:tcW w:w="242" w:type="dxa"/>
            <w:tcBorders/>
            <w:vAlign w:val="center"/>
          </w:tcPr>
          <w:p>
            <w:pPr>
              <w:pStyle w:val="TableContents"/>
              <w:bidi w:val="0"/>
              <w:spacing w:before="0" w:after="283"/>
              <w:jc w:val="start"/>
              <w:rPr>
                <w:sz w:val="4"/>
                <w:szCs w:val="4"/>
              </w:rPr>
            </w:pPr>
            <w:r>
              <w:rPr>
                <w:sz w:val="4"/>
                <w:szCs w:val="4"/>
              </w:rPr>
            </w:r>
          </w:p>
        </w:tc>
      </w:tr>
      <w:tr>
        <w:trPr/>
        <w:tc>
          <w:tcPr>
            <w:tcW w:w="3662" w:type="dxa"/>
            <w:tcBorders/>
            <w:vAlign w:val="center"/>
          </w:tcPr>
          <w:p>
            <w:pPr>
              <w:pStyle w:val="TableContents"/>
              <w:bidi w:val="0"/>
              <w:spacing w:before="0" w:after="283"/>
              <w:jc w:val="start"/>
              <w:rPr/>
            </w:pPr>
            <w:r>
              <w:rPr/>
              <w:t xml:space="preserve">Polarizability: </w:t>
            </w:r>
          </w:p>
        </w:tc>
        <w:tc>
          <w:tcPr>
            <w:tcW w:w="242" w:type="dxa"/>
            <w:tcBorders/>
            <w:vAlign w:val="center"/>
          </w:tcPr>
          <w:p>
            <w:pPr>
              <w:pStyle w:val="TableContents"/>
              <w:bidi w:val="0"/>
              <w:spacing w:before="0" w:after="283"/>
              <w:jc w:val="start"/>
              <w:rPr>
                <w:sz w:val="4"/>
                <w:szCs w:val="4"/>
              </w:rPr>
            </w:pPr>
            <w:r>
              <w:rPr>
                <w:sz w:val="4"/>
                <w:szCs w:val="4"/>
              </w:rPr>
            </w:r>
          </w:p>
        </w:tc>
      </w:tr>
      <w:tr>
        <w:trPr/>
        <w:tc>
          <w:tcPr>
            <w:tcW w:w="3662" w:type="dxa"/>
            <w:tcBorders/>
            <w:vAlign w:val="center"/>
          </w:tcPr>
          <w:p>
            <w:pPr>
              <w:pStyle w:val="TableContents"/>
              <w:bidi w:val="0"/>
              <w:spacing w:before="0" w:after="283"/>
              <w:jc w:val="start"/>
              <w:rPr/>
            </w:pPr>
            <w:r>
              <w:rPr/>
              <w:t xml:space="preserve">Surface Tension: </w:t>
            </w:r>
          </w:p>
        </w:tc>
        <w:tc>
          <w:tcPr>
            <w:tcW w:w="242" w:type="dxa"/>
            <w:tcBorders/>
            <w:vAlign w:val="center"/>
          </w:tcPr>
          <w:p>
            <w:pPr>
              <w:pStyle w:val="TableContents"/>
              <w:bidi w:val="0"/>
              <w:spacing w:before="0" w:after="283"/>
              <w:jc w:val="start"/>
              <w:rPr>
                <w:sz w:val="4"/>
                <w:szCs w:val="4"/>
              </w:rPr>
            </w:pPr>
            <w:r>
              <w:rPr>
                <w:sz w:val="4"/>
                <w:szCs w:val="4"/>
              </w:rPr>
            </w:r>
          </w:p>
        </w:tc>
      </w:tr>
      <w:tr>
        <w:trPr/>
        <w:tc>
          <w:tcPr>
            <w:tcW w:w="3662" w:type="dxa"/>
            <w:tcBorders/>
            <w:vAlign w:val="center"/>
          </w:tcPr>
          <w:p>
            <w:pPr>
              <w:pStyle w:val="TableContents"/>
              <w:bidi w:val="0"/>
              <w:spacing w:before="0" w:after="283"/>
              <w:jc w:val="start"/>
              <w:rPr/>
            </w:pPr>
            <w:r>
              <w:rPr/>
              <w:t xml:space="preserve">Molar Volume: </w:t>
            </w:r>
          </w:p>
        </w:tc>
        <w:tc>
          <w:tcPr>
            <w:tcW w:w="242"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Click to predict properties on the Chemicalize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https://assignbuster.com/chlorhexidine-digluconate-c34h54cl2n10o14-structure/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Chlorhexidine digluconate c34h54cl2n10o1...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lorhexidine-digluconate-c34h54cl2n10o14-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Chlorhexidine digluconate c34h54cl2n10o14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Chlorhexidine digluconate c34h54cl2n10o14 structure</dc:title>
  <dc:subject>Others;</dc:subject>
  <dc:creator>AssignBuster</dc:creator>
  <cp:keywords/>
  <dc:description>Density: Boiling Point: Vapour Pressure: Enthalpy of Vaporization: Flash Point: Index of Refraction: Molar Refractivity:#H bond acceptors:#H bond dono...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