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Om asignment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Operations Management </w:t>
      </w:r>
    </w:p>
    <w:p>
      <w:pPr>
        <w:pStyle w:val="Heading2"/>
        <w:bidi w:val="0"/>
        <w:jc w:val="start"/>
        <w:rPr/>
      </w:pPr>
      <w:r>
        <w:rPr/>
        <w:t xml:space="preserve">Tutorial 2: Competitiveness, Strategy and Productivity </w:t>
      </w:r>
    </w:p>
    <w:p>
      <w:pPr>
        <w:pStyle w:val="Heading3"/>
        <w:bidi w:val="0"/>
        <w:jc w:val="start"/>
        <w:rPr/>
      </w:pPr>
      <w:r>
        <w:rPr/>
        <w:t xml:space="preserve">Section A: True/False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1. An example of a strategic operations management decision is the choice of where to locate.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2. An example of an operational operations management decision is inventory level management.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3. An example of a tactical operations management decision is whether to build a new facility or to expand an existing one.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4. An example of a tactical operations management decision is determining employment levels.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5. Productivity is defined as the ratio of output to input.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6. Productivity is defined as the ratio of input to output.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7. Competitiveness relates to the profitability of an organization in the marketplace.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8. If people would only work harder, productivity would increase.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9. Tracking productivity measures over time enables managers to judge organizational performance and decide where improvements are needed.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10. Productivity is directly related to the ability of an organization to compete.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11. A characteristic that was once an order winner may become an order qualifier, and vice versa.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12. Outsourcing tends to improve quality but at the cost of lowered productivity.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13. Productivity tends to be only a very minor factor in an organizations ability to compete.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14. An organization that is twice as productive as its competitor will be twice as profitable.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15. National productivity is determined by averaging the productivity measures of various companies or industries.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16. Wage and salary increases that are not accompanied by productivity increases tend to exert inflationary pressures on a nation's economy.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17. Global competition really only applies to multi-national organizations.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18. A business that is rated highly by their customers for service quality will tend to be more profitable than a business that is rated poorly.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19. Services often don’t fit simple yield measurements.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20. A mission statement should provide a guide for the formulation of strategies for the organization.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21. The hierarchy and sequence of planning and decision-making is: mission, organizational strategy, tactics, and operational decisions.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22. Strategy includes both organizational and functional strategies.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23. Organizational strategy should be determined without considering the realities of functional area strengths and weaknesses since they can be changed to meet our strategy.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https://assignbuster.com/om-asignment/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Om asignment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m-a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Om asignment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asignment</dc:title>
  <dc:subject>Others;</dc:subject>
  <dc:creator>AssignBuster</dc:creator>
  <cp:keywords/>
  <dc:description>An example of a strategic operations management decision is the choice of where to locate.2.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