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celtic football and athletic company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aim of this report is to provide an examination of the business of the Celtic Football Club and Athletic Company Limited. In view to achieve this, the report with contain a financial as well as performance analysis over the past few years. As the objective of this report is to advise investors outside the UK, it will also provide information on the corporate structure, along with an overview of the industry, market conditions and the environmental factors like operating factors, political influence and governmental policies. A comparative analysis with other companies of the same cartel would be provided wherever relevant. </w:t>
      </w:r>
    </w:p>
    <w:p>
      <w:pPr>
        <w:pStyle w:val="Heading3"/>
        <w:bidi w:val="0"/>
        <w:jc w:val="start"/>
        <w:rPr/>
      </w:pPr>
      <w:r>
        <w:rPr/>
        <w:t xml:space="preserve">Achievements </w:t>
      </w:r>
    </w:p>
    <w:p>
      <w:pPr>
        <w:pStyle w:val="TextBody"/>
        <w:bidi w:val="0"/>
        <w:spacing w:before="0" w:after="283"/>
        <w:jc w:val="start"/>
        <w:rPr/>
      </w:pPr>
      <w:r>
        <w:rPr/>
        <w:t xml:space="preserve">Celtic has been the champions of the Scottish Premier League 6 times since it started in 1998/99 season. </w:t>
      </w:r>
    </w:p>
    <w:p>
      <w:pPr>
        <w:pStyle w:val="TextBody"/>
        <w:bidi w:val="0"/>
        <w:spacing w:before="0" w:after="283"/>
        <w:jc w:val="start"/>
        <w:rPr/>
      </w:pPr>
      <w:r>
        <w:rPr/>
        <w:t xml:space="preserve">Celtic has won the Scottish Cup a record 34 times (runners-up 19 times). </w:t>
      </w:r>
    </w:p>
    <w:p>
      <w:pPr>
        <w:pStyle w:val="TextBody"/>
        <w:bidi w:val="0"/>
        <w:spacing w:before="0" w:after="283"/>
        <w:jc w:val="start"/>
        <w:rPr/>
      </w:pPr>
      <w:r>
        <w:rPr/>
        <w:t xml:space="preserve">Celtic won the UEFA champions league in 1966/67 beating Internazionale Milano 2-1 in the final. The Scottish team’s victory – one of open play over the “ negative football” of Internazionale FC – was all the more remarkable because manager Jock Stein had fielded ten Glasgow-born players in the final at Lisbon’s Estádio Nacional. </w:t>
      </w:r>
    </w:p>
    <w:p>
      <w:pPr>
        <w:pStyle w:val="Heading3"/>
        <w:bidi w:val="0"/>
        <w:jc w:val="start"/>
        <w:rPr/>
      </w:pPr>
      <w:r>
        <w:rPr/>
        <w:t xml:space="preserve">Sponsors </w:t>
      </w:r>
    </w:p>
    <w:p>
      <w:pPr>
        <w:pStyle w:val="TextBody"/>
        <w:bidi w:val="0"/>
        <w:spacing w:before="0" w:after="283"/>
        <w:jc w:val="start"/>
        <w:rPr/>
      </w:pPr>
      <w:r>
        <w:rPr/>
        <w:t xml:space="preserve">Carling </w:t>
      </w:r>
    </w:p>
    <w:p>
      <w:pPr>
        <w:pStyle w:val="TextBody"/>
        <w:bidi w:val="0"/>
        <w:spacing w:before="0" w:after="283"/>
        <w:jc w:val="start"/>
        <w:rPr/>
      </w:pPr>
      <w:r>
        <w:rPr/>
        <w:t xml:space="preserve">Nike </w:t>
      </w:r>
    </w:p>
    <w:p>
      <w:pPr>
        <w:pStyle w:val="TextBody"/>
        <w:bidi w:val="0"/>
        <w:spacing w:before="0" w:after="283"/>
        <w:jc w:val="start"/>
        <w:rPr/>
      </w:pPr>
      <w:r>
        <w:rPr/>
        <w:t xml:space="preserve">Thomas cook </w:t>
      </w:r>
    </w:p>
    <w:p>
      <w:pPr>
        <w:pStyle w:val="TextBody"/>
        <w:bidi w:val="0"/>
        <w:spacing w:before="0" w:after="283"/>
        <w:jc w:val="start"/>
        <w:rPr/>
      </w:pPr>
      <w:r>
        <w:rPr/>
        <w:t xml:space="preserve">Scottish leader </w:t>
      </w:r>
    </w:p>
    <w:p>
      <w:pPr>
        <w:pStyle w:val="TextBody"/>
        <w:bidi w:val="0"/>
        <w:spacing w:before="0" w:after="283"/>
        <w:jc w:val="start"/>
        <w:rPr/>
      </w:pPr>
      <w:r>
        <w:rPr/>
        <w:t xml:space="preserve">MBNA </w:t>
      </w:r>
    </w:p>
    <w:p>
      <w:pPr>
        <w:pStyle w:val="TextBody"/>
        <w:bidi w:val="0"/>
        <w:spacing w:before="0" w:after="283"/>
        <w:jc w:val="start"/>
        <w:rPr/>
      </w:pPr>
      <w:r>
        <w:rPr/>
        <w:t xml:space="preserve">Cocacola </w:t>
      </w:r>
    </w:p>
    <w:p>
      <w:pPr>
        <w:pStyle w:val="TextBody"/>
        <w:bidi w:val="0"/>
        <w:spacing w:before="0" w:after="283"/>
        <w:jc w:val="start"/>
        <w:rPr/>
      </w:pPr>
      <w:r>
        <w:rPr/>
        <w:t xml:space="preserve">Citylink </w:t>
      </w:r>
    </w:p>
    <w:p>
      <w:pPr>
        <w:pStyle w:val="TextBody"/>
        <w:bidi w:val="0"/>
        <w:spacing w:before="0" w:after="283"/>
        <w:jc w:val="start"/>
        <w:rPr/>
      </w:pPr>
      <w:r>
        <w:rPr/>
        <w:t xml:space="preserve">Shields </w:t>
      </w:r>
    </w:p>
    <w:p>
      <w:pPr>
        <w:pStyle w:val="TextBody"/>
        <w:bidi w:val="0"/>
        <w:spacing w:before="0" w:after="283"/>
        <w:jc w:val="start"/>
        <w:rPr/>
      </w:pPr>
      <w:r>
        <w:rPr/>
        <w:t xml:space="preserve">Seatexchange. com </w:t>
      </w:r>
    </w:p>
    <w:p>
      <w:pPr>
        <w:pStyle w:val="TextBody"/>
        <w:bidi w:val="0"/>
        <w:spacing w:before="0" w:after="283"/>
        <w:jc w:val="start"/>
        <w:rPr/>
      </w:pPr>
      <w:r>
        <w:rPr/>
        <w:t xml:space="preserve">Coral </w:t>
      </w:r>
    </w:p>
    <w:p>
      <w:pPr>
        <w:pStyle w:val="TextBody"/>
        <w:bidi w:val="0"/>
        <w:spacing w:before="0" w:after="283"/>
        <w:jc w:val="start"/>
        <w:rPr/>
      </w:pPr>
      <w:r>
        <w:rPr/>
        <w:t xml:space="preserve">Powerade </w:t>
      </w:r>
    </w:p>
    <w:p>
      <w:pPr>
        <w:pStyle w:val="Heading3"/>
        <w:bidi w:val="0"/>
        <w:jc w:val="start"/>
        <w:rPr/>
      </w:pPr>
      <w:r>
        <w:rPr/>
        <w:t xml:space="preserve">Operational Highlights </w:t>
      </w:r>
    </w:p>
    <w:p>
      <w:pPr>
        <w:pStyle w:val="TextBody"/>
        <w:bidi w:val="0"/>
        <w:spacing w:before="0" w:after="283"/>
        <w:jc w:val="start"/>
        <w:rPr/>
      </w:pPr>
      <w:r>
        <w:rPr/>
        <w:t xml:space="preserve">Winners of the Co-operative Insurance Cup Participation in the group stages of the UEFA Champions League playing 3 home European fixtures (2008: 5) </w:t>
      </w:r>
    </w:p>
    <w:p>
      <w:pPr>
        <w:pStyle w:val="TextBody"/>
        <w:bidi w:val="0"/>
        <w:spacing w:before="0" w:after="283"/>
        <w:jc w:val="start"/>
        <w:rPr/>
      </w:pPr>
      <w:r>
        <w:rPr/>
        <w:t xml:space="preserve">Season ticket sales of 54, 252 (2008: 53, 517) following a price freeze and introduction of low-priced concession tickets </w:t>
      </w:r>
    </w:p>
    <w:p>
      <w:pPr>
        <w:pStyle w:val="TextBody"/>
        <w:bidi w:val="0"/>
        <w:spacing w:before="0" w:after="283"/>
        <w:jc w:val="start"/>
        <w:rPr/>
      </w:pPr>
      <w:r>
        <w:rPr/>
        <w:t xml:space="preserve">26 home matches played at Celtic Park in the year (2008: 28) </w:t>
      </w:r>
    </w:p>
    <w:p>
      <w:pPr>
        <w:pStyle w:val="TextBody"/>
        <w:bidi w:val="0"/>
        <w:spacing w:before="0" w:after="283"/>
        <w:jc w:val="start"/>
        <w:rPr/>
      </w:pPr>
      <w:r>
        <w:rPr/>
        <w:t xml:space="preserve">Appointment of Tony Mowbray as football manager </w:t>
      </w:r>
    </w:p>
    <w:p>
      <w:pPr>
        <w:pStyle w:val="TextBody"/>
        <w:bidi w:val="0"/>
        <w:spacing w:before="0" w:after="283"/>
        <w:jc w:val="start"/>
        <w:rPr/>
      </w:pPr>
      <w:r>
        <w:rPr/>
        <w:t xml:space="preserve">NIKE’S appointment as kit manufacturer extended for 5 years until 2015 </w:t>
      </w:r>
    </w:p>
    <w:p>
      <w:pPr>
        <w:pStyle w:val="Heading3"/>
        <w:bidi w:val="0"/>
        <w:jc w:val="start"/>
        <w:rPr/>
      </w:pPr>
      <w:r>
        <w:rPr/>
        <w:t xml:space="preserve">FOOTBALL OPERATIONS </w:t>
      </w:r>
    </w:p>
    <w:p>
      <w:pPr>
        <w:pStyle w:val="TextBody"/>
        <w:bidi w:val="0"/>
        <w:spacing w:before="0" w:after="283"/>
        <w:jc w:val="start"/>
        <w:rPr/>
      </w:pPr>
      <w:r>
        <w:rPr/>
        <w:t xml:space="preserve">During season 2008/9 the Club played 51 competitive matches, winning 31 and losing just 8, with 12 matches drawn. After a thrilling penalty shootout in the semi-final against Dundee United, Celtic went on to beat Rangers in the final to lift the CIS Cup. </w:t>
      </w:r>
    </w:p>
    <w:p>
      <w:pPr>
        <w:pStyle w:val="TextBody"/>
        <w:bidi w:val="0"/>
        <w:spacing w:before="0" w:after="283"/>
        <w:jc w:val="start"/>
        <w:rPr/>
      </w:pPr>
      <w:r>
        <w:rPr/>
        <w:t xml:space="preserve">Furthermore, no less than eighteen Celtic players were called up for senior International duty, spanning eleven different nations. The reserve side under Willie McStay won the SPL Reserve Championship for the eighth year in a row, losing just 2 of its 22 competitive matches. Willie has since departed to take up a great managerial opportunity at Ujpest in Hungary. </w:t>
      </w:r>
    </w:p>
    <w:p>
      <w:pPr>
        <w:pStyle w:val="Heading3"/>
        <w:bidi w:val="0"/>
        <w:jc w:val="start"/>
        <w:rPr/>
      </w:pPr>
      <w:r>
        <w:rPr/>
        <w:t xml:space="preserve">YOUTH ACADEMY </w:t>
      </w:r>
    </w:p>
    <w:p>
      <w:pPr>
        <w:pStyle w:val="TextBody"/>
        <w:bidi w:val="0"/>
        <w:spacing w:before="0" w:after="283"/>
        <w:jc w:val="start"/>
        <w:rPr/>
      </w:pPr>
      <w:r>
        <w:rPr/>
        <w:t xml:space="preserve">Six new coaches joined the Academy in 2008/9, including Tommy McIntyre as Head of Professional Academy and Stephen Frail as Under 19 Head Coach. Two new teams were added at Under 9s and Under 10s in order to prepare players for participating in the SFA Youth league at Under 11s. We now have squads from Under 9s through to Under 19s. The season started well for the Under 19s winning the Glasgow Cup by beating Rangers 3-1 in the final. They then went on to record their highest ever position in the prestigious Villarreal Tournament. </w:t>
      </w:r>
    </w:p>
    <w:p>
      <w:pPr>
        <w:pStyle w:val="Heading3"/>
        <w:bidi w:val="0"/>
        <w:jc w:val="start"/>
        <w:rPr/>
      </w:pPr>
      <w:r>
        <w:rPr/>
        <w:t xml:space="preserve">Financial Highlights </w:t>
      </w:r>
    </w:p>
    <w:p>
      <w:pPr>
        <w:pStyle w:val="TextBody"/>
        <w:bidi w:val="0"/>
        <w:spacing w:before="0" w:after="283"/>
        <w:jc w:val="start"/>
        <w:rPr/>
      </w:pPr>
      <w:r>
        <w:rPr/>
        <w:t xml:space="preserve">Group revenue reduced by 0. 5% to £72. 59m (2008: £72. 95m) </w:t>
      </w:r>
    </w:p>
    <w:p>
      <w:pPr>
        <w:pStyle w:val="TextBody"/>
        <w:bidi w:val="0"/>
        <w:spacing w:before="0" w:after="283"/>
        <w:jc w:val="start"/>
        <w:rPr/>
      </w:pPr>
      <w:r>
        <w:rPr/>
        <w:t xml:space="preserve">Operating expenses reduced by 4. 3% to £61. 36m (2008: £64. 09m) </w:t>
      </w:r>
    </w:p>
    <w:p>
      <w:pPr>
        <w:pStyle w:val="TextBody"/>
        <w:bidi w:val="0"/>
        <w:spacing w:before="0" w:after="283"/>
        <w:jc w:val="start"/>
        <w:rPr/>
      </w:pPr>
      <w:r>
        <w:rPr/>
        <w:t xml:space="preserve">Profit from trading before asset transactions and exceptional operating expenses of £11. 23m (2008: £8. 86m) </w:t>
      </w:r>
    </w:p>
    <w:p>
      <w:pPr>
        <w:pStyle w:val="TextBody"/>
        <w:bidi w:val="0"/>
        <w:spacing w:before="0" w:after="283"/>
        <w:jc w:val="start"/>
        <w:rPr/>
      </w:pPr>
      <w:r>
        <w:rPr/>
        <w:t xml:space="preserve">Exceptional operating expenses of £2. 78m (2008: £3. 19m) </w:t>
      </w:r>
    </w:p>
    <w:p>
      <w:pPr>
        <w:pStyle w:val="TextBody"/>
        <w:bidi w:val="0"/>
        <w:spacing w:before="0" w:after="283"/>
        <w:jc w:val="start"/>
        <w:rPr/>
      </w:pPr>
      <w:r>
        <w:rPr/>
        <w:t xml:space="preserve">Gain on disposal of intangible assets of £1. 55m (2008: £5. 70m) </w:t>
      </w:r>
    </w:p>
    <w:p>
      <w:pPr>
        <w:pStyle w:val="TextBody"/>
        <w:bidi w:val="0"/>
        <w:spacing w:before="0" w:after="283"/>
        <w:jc w:val="start"/>
        <w:rPr/>
      </w:pPr>
      <w:r>
        <w:rPr/>
        <w:t xml:space="preserve">Profit before taxation of £2. 00m (2008: £4. 44m) </w:t>
      </w:r>
    </w:p>
    <w:p>
      <w:pPr>
        <w:pStyle w:val="TextBody"/>
        <w:bidi w:val="0"/>
        <w:spacing w:before="0" w:after="283"/>
        <w:jc w:val="start"/>
        <w:rPr/>
      </w:pPr>
      <w:r>
        <w:rPr/>
        <w:t xml:space="preserve">Year end bank debt of £1. 51m (2008: £3. 52m) net of cash </w:t>
      </w:r>
    </w:p>
    <w:p>
      <w:pPr>
        <w:pStyle w:val="TextBody"/>
        <w:bidi w:val="0"/>
        <w:spacing w:before="0" w:after="283"/>
        <w:jc w:val="start"/>
        <w:rPr/>
      </w:pPr>
      <w:r>
        <w:rPr/>
        <w:t xml:space="preserve">Investment of £8. 53m (2008: £5. 11m) in the acquisition of football players </w:t>
      </w:r>
    </w:p>
    <w:p>
      <w:pPr>
        <w:pStyle w:val="Heading3"/>
        <w:bidi w:val="0"/>
        <w:jc w:val="start"/>
        <w:rPr/>
      </w:pPr>
      <w:r>
        <w:rPr/>
        <w:t xml:space="preserve">FINANCIAL PERFORMANCE </w:t>
      </w:r>
    </w:p>
    <w:p>
      <w:pPr>
        <w:pStyle w:val="TextBody"/>
        <w:bidi w:val="0"/>
        <w:spacing w:before="0" w:after="283"/>
        <w:jc w:val="start"/>
        <w:rPr/>
      </w:pPr>
      <w:r>
        <w:rPr/>
        <w:t xml:space="preserve">In general it is recognised that much of the football sector continues to be challenged financially. A number of clubs remain heavily in debt and incurring ongoing losses. This has been exacerbated in Scotland by the collapse of Setanta, the most recent media rights holder for SPL football. Conversely the lucrative television deals recently secured in England, particularly by the English Premier League, have resulted in increased transfer values and much higher wages at clubs in that league and fuelled wage and transfer fee inflation around Europe. The impact of the credit crunch on the world economy has been significant and trading conditions have been and continue to be extremely difficult. But Celtic’s trading results for the year to 30 June 2009 are again strong, benefiting dramatically from participation in the UEFA Champions’ League group stage, tighter cost control and player trading. In the year to 30 June 2009 turnover was £72. 59m, which is a slight reduction of £0. 37m, 0. 5% against the previous year having played 26 home matches in comparison to 28 last year. Much of this net reduction is due to lower ticket revenue with two fewer high value home European matches being played. This reduction has been partially offset by an increase in multi-media, £0. 59m, and merchandise sales, £1. 09m, largely as a result of there being three kit launches in the current year as against one the previous. In the year to 30 June 2009 total operating expenses reduced over the previous year by approximately £2. 74m, 4. 3% to £61. 36m. Much of this cost saving is as a result of a reduction in cost of sales, labour, travel and accommodation together with reduced match day costs from playing two fewer home games this season. During the financial year to 30 June 2009, £8. 53m was invested in strengthening the first team squad, which resulted in an amortisation charge of £7. 43m in comparison to £5. 60m the previous year. In addition a gain on sale of £1. 55m resulted from the sales of Sno and Riordan and a contingent receipt in respect of Petrov, this compared to £5. 69m last year. Exceptional costs of £2. 78m were incurred in comparison to £3. 19m last year. This in the main relates to a provision for impairment to player values together with costs arising from onerous contracts and the early termination of certain employment contracts. As a result of the above, and after various exceptional costs, the Company announced a retained profit for the year to 30 June 2009 of £2. 00m which compares with the previous year’s £4. 44m. </w:t>
      </w:r>
    </w:p>
    <w:p>
      <w:pPr>
        <w:pStyle w:val="Heading3"/>
        <w:bidi w:val="0"/>
        <w:jc w:val="start"/>
        <w:rPr/>
      </w:pPr>
      <w:r>
        <w:rPr/>
        <w:t xml:space="preserve">FINANCIAL ANALYSIS OVER THE LAST FIVE YEARS </w:t>
      </w:r>
    </w:p>
    <w:p>
      <w:pPr>
        <w:pStyle w:val="TextBody"/>
        <w:bidi w:val="0"/>
        <w:spacing w:before="0" w:after="283"/>
        <w:jc w:val="start"/>
        <w:rPr/>
      </w:pPr>
      <w:r>
        <w:rPr/>
        <w:t xml:space="preserve">Turnover </w:t>
      </w:r>
    </w:p>
    <w:tbl>
      <w:tblPr>
        <w:tblW w:w="6650" w:type="dxa"/>
        <w:jc w:val="start"/>
        <w:tblInd w:w="0" w:type="dxa"/>
        <w:tblLayout w:type="fixed"/>
        <w:tblCellMar>
          <w:top w:w="0" w:type="dxa"/>
          <w:start w:w="0" w:type="dxa"/>
          <w:bottom w:w="0" w:type="dxa"/>
          <w:end w:w="0" w:type="dxa"/>
        </w:tblCellMar>
      </w:tblPr>
      <w:tblGrid>
        <w:gridCol w:w="1835"/>
        <w:gridCol w:w="800"/>
        <w:gridCol w:w="800"/>
        <w:gridCol w:w="800"/>
        <w:gridCol w:w="800"/>
        <w:gridCol w:w="800"/>
        <w:gridCol w:w="815"/>
      </w:tblGrid>
      <w:tr>
        <w:trPr/>
        <w:tc>
          <w:tcPr>
            <w:tcW w:w="1835" w:type="dxa"/>
            <w:tcBorders/>
            <w:vAlign w:val="center"/>
          </w:tcPr>
          <w:p>
            <w:pPr>
              <w:pStyle w:val="TableContents"/>
              <w:bidi w:val="0"/>
              <w:spacing w:before="0" w:after="283"/>
              <w:jc w:val="start"/>
              <w:rPr>
                <w:sz w:val="4"/>
                <w:szCs w:val="4"/>
              </w:rPr>
            </w:pPr>
            <w:r>
              <w:rPr>
                <w:sz w:val="4"/>
                <w:szCs w:val="4"/>
              </w:rPr>
            </w:r>
          </w:p>
        </w:tc>
        <w:tc>
          <w:tcPr>
            <w:tcW w:w="800" w:type="dxa"/>
            <w:tcBorders/>
            <w:vAlign w:val="center"/>
          </w:tcPr>
          <w:p>
            <w:pPr>
              <w:pStyle w:val="TableContents"/>
              <w:bidi w:val="0"/>
              <w:spacing w:before="0" w:after="283"/>
              <w:jc w:val="start"/>
              <w:rPr/>
            </w:pPr>
            <w:r>
              <w:rPr/>
              <w:t xml:space="preserve">2003 </w:t>
            </w:r>
          </w:p>
        </w:tc>
        <w:tc>
          <w:tcPr>
            <w:tcW w:w="800" w:type="dxa"/>
            <w:tcBorders/>
            <w:vAlign w:val="center"/>
          </w:tcPr>
          <w:p>
            <w:pPr>
              <w:pStyle w:val="TableContents"/>
              <w:bidi w:val="0"/>
              <w:spacing w:before="0" w:after="283"/>
              <w:jc w:val="start"/>
              <w:rPr/>
            </w:pPr>
            <w:r>
              <w:rPr/>
              <w:t xml:space="preserve">2004 </w:t>
            </w:r>
          </w:p>
        </w:tc>
        <w:tc>
          <w:tcPr>
            <w:tcW w:w="800" w:type="dxa"/>
            <w:tcBorders/>
            <w:vAlign w:val="center"/>
          </w:tcPr>
          <w:p>
            <w:pPr>
              <w:pStyle w:val="TableContents"/>
              <w:bidi w:val="0"/>
              <w:spacing w:before="0" w:after="283"/>
              <w:jc w:val="start"/>
              <w:rPr/>
            </w:pPr>
            <w:r>
              <w:rPr/>
              <w:t xml:space="preserve">2005 </w:t>
            </w:r>
          </w:p>
        </w:tc>
        <w:tc>
          <w:tcPr>
            <w:tcW w:w="800" w:type="dxa"/>
            <w:tcBorders/>
            <w:vAlign w:val="center"/>
          </w:tcPr>
          <w:p>
            <w:pPr>
              <w:pStyle w:val="TableContents"/>
              <w:bidi w:val="0"/>
              <w:spacing w:before="0" w:after="283"/>
              <w:jc w:val="start"/>
              <w:rPr/>
            </w:pPr>
            <w:r>
              <w:rPr/>
              <w:t xml:space="preserve">2006 </w:t>
            </w:r>
          </w:p>
        </w:tc>
        <w:tc>
          <w:tcPr>
            <w:tcW w:w="800" w:type="dxa"/>
            <w:tcBorders/>
            <w:vAlign w:val="center"/>
          </w:tcPr>
          <w:p>
            <w:pPr>
              <w:pStyle w:val="TableContents"/>
              <w:bidi w:val="0"/>
              <w:spacing w:before="0" w:after="283"/>
              <w:jc w:val="start"/>
              <w:rPr/>
            </w:pPr>
            <w:r>
              <w:rPr/>
              <w:t xml:space="preserve">2007 </w:t>
            </w:r>
          </w:p>
        </w:tc>
        <w:tc>
          <w:tcPr>
            <w:tcW w:w="815" w:type="dxa"/>
            <w:tcBorders/>
            <w:vAlign w:val="center"/>
          </w:tcPr>
          <w:p>
            <w:pPr>
              <w:pStyle w:val="TableContents"/>
              <w:bidi w:val="0"/>
              <w:spacing w:before="0" w:after="283"/>
              <w:jc w:val="start"/>
              <w:rPr/>
            </w:pPr>
            <w:r>
              <w:rPr/>
              <w:t xml:space="preserve">2008 </w:t>
            </w:r>
          </w:p>
        </w:tc>
      </w:tr>
      <w:tr>
        <w:trPr/>
        <w:tc>
          <w:tcPr>
            <w:tcW w:w="1835" w:type="dxa"/>
            <w:tcBorders/>
            <w:vAlign w:val="center"/>
          </w:tcPr>
          <w:p>
            <w:pPr>
              <w:pStyle w:val="TableContents"/>
              <w:bidi w:val="0"/>
              <w:jc w:val="start"/>
              <w:rPr/>
            </w:pPr>
            <w:r>
              <w:rPr/>
              <w:t xml:space="preserve">Annual turnover </w:t>
            </w:r>
          </w:p>
          <w:p>
            <w:pPr>
              <w:pStyle w:val="TableContents"/>
              <w:bidi w:val="0"/>
              <w:spacing w:before="0" w:after="283"/>
              <w:jc w:val="start"/>
              <w:rPr/>
            </w:pPr>
            <w:r>
              <w:rPr/>
              <w:t xml:space="preserve">£, 000 </w:t>
            </w:r>
          </w:p>
        </w:tc>
        <w:tc>
          <w:tcPr>
            <w:tcW w:w="800" w:type="dxa"/>
            <w:tcBorders/>
            <w:vAlign w:val="center"/>
          </w:tcPr>
          <w:p>
            <w:pPr>
              <w:pStyle w:val="TableContents"/>
              <w:bidi w:val="0"/>
              <w:spacing w:before="0" w:after="283"/>
              <w:jc w:val="start"/>
              <w:rPr/>
            </w:pPr>
            <w:r>
              <w:rPr/>
              <w:t xml:space="preserve">60, 569 </w:t>
            </w:r>
          </w:p>
        </w:tc>
        <w:tc>
          <w:tcPr>
            <w:tcW w:w="800" w:type="dxa"/>
            <w:tcBorders/>
            <w:vAlign w:val="center"/>
          </w:tcPr>
          <w:p>
            <w:pPr>
              <w:pStyle w:val="TableContents"/>
              <w:bidi w:val="0"/>
              <w:spacing w:before="0" w:after="283"/>
              <w:jc w:val="start"/>
              <w:rPr/>
            </w:pPr>
            <w:r>
              <w:rPr/>
              <w:t xml:space="preserve">69, 020 </w:t>
            </w:r>
          </w:p>
        </w:tc>
        <w:tc>
          <w:tcPr>
            <w:tcW w:w="800" w:type="dxa"/>
            <w:tcBorders/>
            <w:vAlign w:val="center"/>
          </w:tcPr>
          <w:p>
            <w:pPr>
              <w:pStyle w:val="TableContents"/>
              <w:bidi w:val="0"/>
              <w:spacing w:before="0" w:after="283"/>
              <w:jc w:val="start"/>
              <w:rPr/>
            </w:pPr>
            <w:r>
              <w:rPr/>
              <w:t xml:space="preserve">62, 168 </w:t>
            </w:r>
          </w:p>
        </w:tc>
        <w:tc>
          <w:tcPr>
            <w:tcW w:w="800" w:type="dxa"/>
            <w:tcBorders/>
            <w:vAlign w:val="center"/>
          </w:tcPr>
          <w:p>
            <w:pPr>
              <w:pStyle w:val="TableContents"/>
              <w:bidi w:val="0"/>
              <w:spacing w:before="0" w:after="283"/>
              <w:jc w:val="start"/>
              <w:rPr/>
            </w:pPr>
            <w:r>
              <w:rPr/>
              <w:t xml:space="preserve">57, 411 </w:t>
            </w:r>
          </w:p>
        </w:tc>
        <w:tc>
          <w:tcPr>
            <w:tcW w:w="800" w:type="dxa"/>
            <w:tcBorders/>
            <w:vAlign w:val="center"/>
          </w:tcPr>
          <w:p>
            <w:pPr>
              <w:pStyle w:val="TableContents"/>
              <w:bidi w:val="0"/>
              <w:spacing w:before="0" w:after="283"/>
              <w:jc w:val="start"/>
              <w:rPr/>
            </w:pPr>
            <w:r>
              <w:rPr/>
              <w:t xml:space="preserve">75, 237 </w:t>
            </w:r>
          </w:p>
        </w:tc>
        <w:tc>
          <w:tcPr>
            <w:tcW w:w="815" w:type="dxa"/>
            <w:tcBorders/>
            <w:vAlign w:val="center"/>
          </w:tcPr>
          <w:p>
            <w:pPr>
              <w:pStyle w:val="TableContents"/>
              <w:bidi w:val="0"/>
              <w:spacing w:before="0" w:after="283"/>
              <w:jc w:val="start"/>
              <w:rPr/>
            </w:pPr>
            <w:r>
              <w:rPr/>
              <w:t xml:space="preserve">72, 953 </w:t>
            </w:r>
          </w:p>
        </w:tc>
      </w:tr>
      <w:tr>
        <w:trPr/>
        <w:tc>
          <w:tcPr>
            <w:tcW w:w="1835" w:type="dxa"/>
            <w:tcBorders/>
            <w:vAlign w:val="center"/>
          </w:tcPr>
          <w:p>
            <w:pPr>
              <w:pStyle w:val="TableContents"/>
              <w:bidi w:val="0"/>
              <w:jc w:val="start"/>
              <w:rPr/>
            </w:pPr>
            <w:r>
              <w:rPr/>
              <w:t xml:space="preserve">Increase(decrease) </w:t>
            </w:r>
          </w:p>
          <w:p>
            <w:pPr>
              <w:pStyle w:val="TableContents"/>
              <w:bidi w:val="0"/>
              <w:spacing w:before="0" w:after="283"/>
              <w:jc w:val="start"/>
              <w:rPr/>
            </w:pPr>
            <w:r>
              <w:rPr/>
              <w:t xml:space="preserve">% </w:t>
            </w:r>
          </w:p>
        </w:tc>
        <w:tc>
          <w:tcPr>
            <w:tcW w:w="800" w:type="dxa"/>
            <w:tcBorders/>
            <w:vAlign w:val="center"/>
          </w:tcPr>
          <w:p>
            <w:pPr>
              <w:pStyle w:val="TableContents"/>
              <w:bidi w:val="0"/>
              <w:spacing w:before="0" w:after="283"/>
              <w:jc w:val="start"/>
              <w:rPr/>
            </w:pPr>
            <w:r>
              <w:rPr/>
              <w:t xml:space="preserve">6. 5 </w:t>
            </w:r>
          </w:p>
        </w:tc>
        <w:tc>
          <w:tcPr>
            <w:tcW w:w="800" w:type="dxa"/>
            <w:tcBorders/>
            <w:vAlign w:val="center"/>
          </w:tcPr>
          <w:p>
            <w:pPr>
              <w:pStyle w:val="TableContents"/>
              <w:bidi w:val="0"/>
              <w:spacing w:before="0" w:after="283"/>
              <w:jc w:val="start"/>
              <w:rPr/>
            </w:pPr>
            <w:r>
              <w:rPr/>
              <w:t xml:space="preserve">14 </w:t>
            </w:r>
          </w:p>
        </w:tc>
        <w:tc>
          <w:tcPr>
            <w:tcW w:w="800" w:type="dxa"/>
            <w:tcBorders/>
            <w:vAlign w:val="center"/>
          </w:tcPr>
          <w:p>
            <w:pPr>
              <w:pStyle w:val="TableContents"/>
              <w:bidi w:val="0"/>
              <w:spacing w:before="0" w:after="283"/>
              <w:jc w:val="start"/>
              <w:rPr/>
            </w:pPr>
            <w:r>
              <w:rPr/>
              <w:t xml:space="preserve">(10) </w:t>
            </w:r>
          </w:p>
        </w:tc>
        <w:tc>
          <w:tcPr>
            <w:tcW w:w="800" w:type="dxa"/>
            <w:tcBorders/>
            <w:vAlign w:val="center"/>
          </w:tcPr>
          <w:p>
            <w:pPr>
              <w:pStyle w:val="TableContents"/>
              <w:bidi w:val="0"/>
              <w:spacing w:before="0" w:after="283"/>
              <w:jc w:val="start"/>
              <w:rPr/>
            </w:pPr>
            <w:r>
              <w:rPr/>
              <w:t xml:space="preserve">(8) </w:t>
            </w:r>
          </w:p>
        </w:tc>
        <w:tc>
          <w:tcPr>
            <w:tcW w:w="800" w:type="dxa"/>
            <w:tcBorders/>
            <w:vAlign w:val="center"/>
          </w:tcPr>
          <w:p>
            <w:pPr>
              <w:pStyle w:val="TableContents"/>
              <w:bidi w:val="0"/>
              <w:spacing w:before="0" w:after="283"/>
              <w:jc w:val="start"/>
              <w:rPr/>
            </w:pPr>
            <w:r>
              <w:rPr/>
              <w:t xml:space="preserve">31 </w:t>
            </w:r>
          </w:p>
        </w:tc>
        <w:tc>
          <w:tcPr>
            <w:tcW w:w="815" w:type="dxa"/>
            <w:tcBorders/>
            <w:vAlign w:val="center"/>
          </w:tcPr>
          <w:p>
            <w:pPr>
              <w:pStyle w:val="TableContents"/>
              <w:bidi w:val="0"/>
              <w:spacing w:before="0" w:after="283"/>
              <w:jc w:val="start"/>
              <w:rPr/>
            </w:pPr>
            <w:r>
              <w:rPr/>
              <w:t xml:space="preserve">(3) </w:t>
            </w:r>
          </w:p>
        </w:tc>
      </w:tr>
    </w:tbl>
    <w:p>
      <w:pPr>
        <w:pStyle w:val="TextBody"/>
        <w:bidi w:val="0"/>
        <w:spacing w:before="0" w:after="283"/>
        <w:jc w:val="start"/>
        <w:rPr/>
      </w:pPr>
      <w:r>
        <w:rPr/>
        <w:t xml:space="preserve">After consecutive falls in turnover from 03/04 and 04/05, an extremely successful season both on and off the pitch resulted in a 31% increase (£17m) in turnover to a record breaking £75. 2m in 06/07, a first for any Scottish club. On the field Celtic completed a domestic double, winning the SPL by 12 points and the Tennents Scottish Cup for the 34th time. On the European front they progressed to the last 16 of the UEFA Champion’s League for the first time in the Club’s history. This followed a successful pre-season with trips to Japan, Poland and North America enabling the club to spread the Celtic brand. The season 07/08 saw total revenue falling 3% from £75. 2m to £73m – principally due to a reduction in merchandising sales following the club’s decision to keep the same playing kit as the previous season. </w:t>
      </w:r>
    </w:p>
    <w:p>
      <w:pPr>
        <w:pStyle w:val="Heading3"/>
        <w:bidi w:val="0"/>
        <w:jc w:val="start"/>
        <w:rPr/>
      </w:pPr>
      <w:r>
        <w:rPr/>
        <w:t xml:space="preserve">Ticket sales </w:t>
      </w:r>
    </w:p>
    <w:p>
      <w:pPr>
        <w:pStyle w:val="TextBody"/>
        <w:bidi w:val="0"/>
        <w:spacing w:before="0" w:after="283"/>
        <w:jc w:val="start"/>
        <w:rPr/>
      </w:pPr>
      <w:r>
        <w:rPr/>
        <w:t xml:space="preserve">Season 2008/9 was another successful year. Standard season ticket sales exceeded 51, 000 with a value of circa £17m. The introduction of new concessionary prices for kids’ season tickets was very well received by supporters, with nearly 10, 000 taking advantage of the discounted tickets. Sales were boosted by a highly successful half season ticket sale, which accounted for 2, 100 season sales worth over £180, 000. Taking into account Corporate and Premium ticket sales the total number of seasonal tickets sold reached over 54, 000, which is amongst the highest in the UK. Match ticket sales of over 300, 000, generated revenue in excess of £7million. Nearly 160, 000 UEFA Champions League tickets were sold at a value of £4. 2m, whilst many SPL games were sold out. </w:t>
      </w:r>
    </w:p>
    <w:p>
      <w:pPr>
        <w:pStyle w:val="TextBody"/>
        <w:bidi w:val="0"/>
        <w:spacing w:before="0" w:after="283"/>
        <w:jc w:val="start"/>
        <w:rPr/>
      </w:pPr>
      <w:r>
        <w:rPr/>
        <w:t xml:space="preserve">Average Annual Attendance of the Club </w:t>
      </w:r>
    </w:p>
    <w:tbl>
      <w:tblPr>
        <w:tblW w:w="7475" w:type="dxa"/>
        <w:jc w:val="start"/>
        <w:tblInd w:w="0" w:type="dxa"/>
        <w:tblLayout w:type="fixed"/>
        <w:tblCellMar>
          <w:top w:w="0" w:type="dxa"/>
          <w:start w:w="0" w:type="dxa"/>
          <w:bottom w:w="0" w:type="dxa"/>
          <w:end w:w="0" w:type="dxa"/>
        </w:tblCellMar>
      </w:tblPr>
      <w:tblGrid>
        <w:gridCol w:w="2780"/>
        <w:gridCol w:w="680"/>
        <w:gridCol w:w="800"/>
        <w:gridCol w:w="800"/>
        <w:gridCol w:w="800"/>
        <w:gridCol w:w="800"/>
        <w:gridCol w:w="815"/>
      </w:tblGrid>
      <w:tr>
        <w:trPr/>
        <w:tc>
          <w:tcPr>
            <w:tcW w:w="2780" w:type="dxa"/>
            <w:tcBorders/>
            <w:vAlign w:val="center"/>
          </w:tcPr>
          <w:p>
            <w:pPr>
              <w:pStyle w:val="TableContents"/>
              <w:bidi w:val="0"/>
              <w:spacing w:before="0" w:after="283"/>
              <w:jc w:val="start"/>
              <w:rPr>
                <w:sz w:val="4"/>
                <w:szCs w:val="4"/>
              </w:rPr>
            </w:pPr>
            <w:r>
              <w:rPr>
                <w:sz w:val="4"/>
                <w:szCs w:val="4"/>
              </w:rPr>
            </w:r>
          </w:p>
        </w:tc>
        <w:tc>
          <w:tcPr>
            <w:tcW w:w="680" w:type="dxa"/>
            <w:tcBorders/>
            <w:vAlign w:val="center"/>
          </w:tcPr>
          <w:p>
            <w:pPr>
              <w:pStyle w:val="TableContents"/>
              <w:bidi w:val="0"/>
              <w:spacing w:before="0" w:after="283"/>
              <w:jc w:val="start"/>
              <w:rPr/>
            </w:pPr>
            <w:r>
              <w:rPr/>
              <w:t xml:space="preserve">2003 </w:t>
            </w:r>
          </w:p>
        </w:tc>
        <w:tc>
          <w:tcPr>
            <w:tcW w:w="800" w:type="dxa"/>
            <w:tcBorders/>
            <w:vAlign w:val="center"/>
          </w:tcPr>
          <w:p>
            <w:pPr>
              <w:pStyle w:val="TableContents"/>
              <w:bidi w:val="0"/>
              <w:spacing w:before="0" w:after="283"/>
              <w:jc w:val="start"/>
              <w:rPr/>
            </w:pPr>
            <w:r>
              <w:rPr/>
              <w:t xml:space="preserve">2004 </w:t>
            </w:r>
          </w:p>
        </w:tc>
        <w:tc>
          <w:tcPr>
            <w:tcW w:w="800" w:type="dxa"/>
            <w:tcBorders/>
            <w:vAlign w:val="center"/>
          </w:tcPr>
          <w:p>
            <w:pPr>
              <w:pStyle w:val="TableContents"/>
              <w:bidi w:val="0"/>
              <w:spacing w:before="0" w:after="283"/>
              <w:jc w:val="start"/>
              <w:rPr/>
            </w:pPr>
            <w:r>
              <w:rPr/>
              <w:t xml:space="preserve">2005 </w:t>
            </w:r>
          </w:p>
        </w:tc>
        <w:tc>
          <w:tcPr>
            <w:tcW w:w="800" w:type="dxa"/>
            <w:tcBorders/>
            <w:vAlign w:val="center"/>
          </w:tcPr>
          <w:p>
            <w:pPr>
              <w:pStyle w:val="TableContents"/>
              <w:bidi w:val="0"/>
              <w:spacing w:before="0" w:after="283"/>
              <w:jc w:val="start"/>
              <w:rPr/>
            </w:pPr>
            <w:r>
              <w:rPr/>
              <w:t xml:space="preserve">2006 </w:t>
            </w:r>
          </w:p>
        </w:tc>
        <w:tc>
          <w:tcPr>
            <w:tcW w:w="800" w:type="dxa"/>
            <w:tcBorders/>
            <w:vAlign w:val="center"/>
          </w:tcPr>
          <w:p>
            <w:pPr>
              <w:pStyle w:val="TableContents"/>
              <w:bidi w:val="0"/>
              <w:spacing w:before="0" w:after="283"/>
              <w:jc w:val="start"/>
              <w:rPr/>
            </w:pPr>
            <w:r>
              <w:rPr/>
              <w:t xml:space="preserve">2007 </w:t>
            </w:r>
          </w:p>
        </w:tc>
        <w:tc>
          <w:tcPr>
            <w:tcW w:w="815" w:type="dxa"/>
            <w:tcBorders/>
            <w:vAlign w:val="center"/>
          </w:tcPr>
          <w:p>
            <w:pPr>
              <w:pStyle w:val="TableContents"/>
              <w:bidi w:val="0"/>
              <w:spacing w:before="0" w:after="283"/>
              <w:jc w:val="start"/>
              <w:rPr/>
            </w:pPr>
            <w:r>
              <w:rPr/>
              <w:t xml:space="preserve">2008 </w:t>
            </w:r>
          </w:p>
        </w:tc>
      </w:tr>
      <w:tr>
        <w:trPr/>
        <w:tc>
          <w:tcPr>
            <w:tcW w:w="2780" w:type="dxa"/>
            <w:tcBorders/>
            <w:vAlign w:val="center"/>
          </w:tcPr>
          <w:p>
            <w:pPr>
              <w:pStyle w:val="TableContents"/>
              <w:bidi w:val="0"/>
              <w:spacing w:before="0" w:after="283"/>
              <w:jc w:val="start"/>
              <w:rPr/>
            </w:pPr>
            <w:r>
              <w:rPr/>
              <w:t xml:space="preserve">Average annual   attendance </w:t>
            </w:r>
          </w:p>
        </w:tc>
        <w:tc>
          <w:tcPr>
            <w:tcW w:w="680" w:type="dxa"/>
            <w:tcBorders/>
            <w:vAlign w:val="center"/>
          </w:tcPr>
          <w:p>
            <w:pPr>
              <w:pStyle w:val="TableContents"/>
              <w:bidi w:val="0"/>
              <w:spacing w:before="0" w:after="283"/>
              <w:jc w:val="start"/>
              <w:rPr/>
            </w:pPr>
            <w:r>
              <w:rPr/>
              <w:t xml:space="preserve">57243 </w:t>
            </w:r>
          </w:p>
        </w:tc>
        <w:tc>
          <w:tcPr>
            <w:tcW w:w="800" w:type="dxa"/>
            <w:tcBorders/>
            <w:vAlign w:val="center"/>
          </w:tcPr>
          <w:p>
            <w:pPr>
              <w:pStyle w:val="TableContents"/>
              <w:bidi w:val="0"/>
              <w:spacing w:before="0" w:after="283"/>
              <w:jc w:val="start"/>
              <w:rPr/>
            </w:pPr>
            <w:r>
              <w:rPr/>
              <w:t xml:space="preserve">58, 442 </w:t>
            </w:r>
          </w:p>
        </w:tc>
        <w:tc>
          <w:tcPr>
            <w:tcW w:w="800" w:type="dxa"/>
            <w:tcBorders/>
            <w:vAlign w:val="center"/>
          </w:tcPr>
          <w:p>
            <w:pPr>
              <w:pStyle w:val="TableContents"/>
              <w:bidi w:val="0"/>
              <w:spacing w:before="0" w:after="283"/>
              <w:jc w:val="start"/>
              <w:rPr/>
            </w:pPr>
            <w:r>
              <w:rPr/>
              <w:t xml:space="preserve">57, 958 </w:t>
            </w:r>
          </w:p>
        </w:tc>
        <w:tc>
          <w:tcPr>
            <w:tcW w:w="800" w:type="dxa"/>
            <w:tcBorders/>
            <w:vAlign w:val="center"/>
          </w:tcPr>
          <w:p>
            <w:pPr>
              <w:pStyle w:val="TableContents"/>
              <w:bidi w:val="0"/>
              <w:spacing w:before="0" w:after="283"/>
              <w:jc w:val="start"/>
              <w:rPr/>
            </w:pPr>
            <w:r>
              <w:rPr/>
              <w:t xml:space="preserve">58, 149 </w:t>
            </w:r>
          </w:p>
        </w:tc>
        <w:tc>
          <w:tcPr>
            <w:tcW w:w="800" w:type="dxa"/>
            <w:tcBorders/>
            <w:vAlign w:val="center"/>
          </w:tcPr>
          <w:p>
            <w:pPr>
              <w:pStyle w:val="TableContents"/>
              <w:bidi w:val="0"/>
              <w:spacing w:before="0" w:after="283"/>
              <w:jc w:val="start"/>
              <w:rPr/>
            </w:pPr>
            <w:r>
              <w:rPr/>
              <w:t xml:space="preserve">57, 927 </w:t>
            </w:r>
          </w:p>
        </w:tc>
        <w:tc>
          <w:tcPr>
            <w:tcW w:w="815" w:type="dxa"/>
            <w:tcBorders/>
            <w:vAlign w:val="center"/>
          </w:tcPr>
          <w:p>
            <w:pPr>
              <w:pStyle w:val="TableContents"/>
              <w:bidi w:val="0"/>
              <w:spacing w:before="0" w:after="283"/>
              <w:jc w:val="start"/>
              <w:rPr/>
            </w:pPr>
            <w:r>
              <w:rPr/>
              <w:t xml:space="preserve">56, 676 </w:t>
            </w:r>
          </w:p>
        </w:tc>
      </w:tr>
      <w:tr>
        <w:trPr/>
        <w:tc>
          <w:tcPr>
            <w:tcW w:w="2780" w:type="dxa"/>
            <w:tcBorders/>
            <w:vAlign w:val="center"/>
          </w:tcPr>
          <w:p>
            <w:pPr>
              <w:pStyle w:val="TableContents"/>
              <w:bidi w:val="0"/>
              <w:spacing w:before="0" w:after="283"/>
              <w:jc w:val="start"/>
              <w:rPr/>
            </w:pPr>
            <w:r>
              <w:rPr/>
              <w:t xml:space="preserve">Utilization </w:t>
            </w:r>
          </w:p>
        </w:tc>
        <w:tc>
          <w:tcPr>
            <w:tcW w:w="680" w:type="dxa"/>
            <w:tcBorders/>
            <w:vAlign w:val="center"/>
          </w:tcPr>
          <w:p>
            <w:pPr>
              <w:pStyle w:val="TableContents"/>
              <w:bidi w:val="0"/>
              <w:spacing w:before="0" w:after="283"/>
              <w:jc w:val="start"/>
              <w:rPr/>
            </w:pPr>
            <w:r>
              <w:rPr/>
              <w:t xml:space="preserve">95 </w:t>
            </w:r>
          </w:p>
        </w:tc>
        <w:tc>
          <w:tcPr>
            <w:tcW w:w="800" w:type="dxa"/>
            <w:tcBorders/>
            <w:vAlign w:val="center"/>
          </w:tcPr>
          <w:p>
            <w:pPr>
              <w:pStyle w:val="TableContents"/>
              <w:bidi w:val="0"/>
              <w:spacing w:before="0" w:after="283"/>
              <w:jc w:val="start"/>
              <w:rPr/>
            </w:pPr>
            <w:r>
              <w:rPr/>
              <w:t xml:space="preserve">97 </w:t>
            </w:r>
          </w:p>
        </w:tc>
        <w:tc>
          <w:tcPr>
            <w:tcW w:w="800" w:type="dxa"/>
            <w:tcBorders/>
            <w:vAlign w:val="center"/>
          </w:tcPr>
          <w:p>
            <w:pPr>
              <w:pStyle w:val="TableContents"/>
              <w:bidi w:val="0"/>
              <w:spacing w:before="0" w:after="283"/>
              <w:jc w:val="start"/>
              <w:rPr/>
            </w:pPr>
            <w:r>
              <w:rPr/>
              <w:t xml:space="preserve">96 </w:t>
            </w:r>
          </w:p>
        </w:tc>
        <w:tc>
          <w:tcPr>
            <w:tcW w:w="800" w:type="dxa"/>
            <w:tcBorders/>
            <w:vAlign w:val="center"/>
          </w:tcPr>
          <w:p>
            <w:pPr>
              <w:pStyle w:val="TableContents"/>
              <w:bidi w:val="0"/>
              <w:spacing w:before="0" w:after="283"/>
              <w:jc w:val="start"/>
              <w:rPr/>
            </w:pPr>
            <w:r>
              <w:rPr/>
              <w:t xml:space="preserve">96 </w:t>
            </w:r>
          </w:p>
        </w:tc>
        <w:tc>
          <w:tcPr>
            <w:tcW w:w="800" w:type="dxa"/>
            <w:tcBorders/>
            <w:vAlign w:val="center"/>
          </w:tcPr>
          <w:p>
            <w:pPr>
              <w:pStyle w:val="TableContents"/>
              <w:bidi w:val="0"/>
              <w:spacing w:before="0" w:after="283"/>
              <w:jc w:val="start"/>
              <w:rPr/>
            </w:pPr>
            <w:r>
              <w:rPr/>
              <w:t xml:space="preserve">96 </w:t>
            </w:r>
          </w:p>
        </w:tc>
        <w:tc>
          <w:tcPr>
            <w:tcW w:w="815" w:type="dxa"/>
            <w:tcBorders/>
            <w:vAlign w:val="center"/>
          </w:tcPr>
          <w:p>
            <w:pPr>
              <w:pStyle w:val="TableContents"/>
              <w:bidi w:val="0"/>
              <w:spacing w:before="0" w:after="283"/>
              <w:jc w:val="start"/>
              <w:rPr/>
            </w:pPr>
            <w:r>
              <w:rPr/>
              <w:t xml:space="preserve">96 </w:t>
            </w:r>
          </w:p>
        </w:tc>
      </w:tr>
    </w:tbl>
    <w:p>
      <w:pPr>
        <w:pStyle w:val="TextBody"/>
        <w:bidi w:val="0"/>
        <w:spacing w:before="0" w:after="283"/>
        <w:jc w:val="start"/>
        <w:rPr/>
      </w:pPr>
      <w:r>
        <w:rPr/>
        <w:t xml:space="preserve">Wage level </w:t>
      </w:r>
    </w:p>
    <w:tbl>
      <w:tblPr>
        <w:tblW w:w="7220" w:type="dxa"/>
        <w:jc w:val="start"/>
        <w:tblInd w:w="0" w:type="dxa"/>
        <w:tblLayout w:type="fixed"/>
        <w:tblCellMar>
          <w:top w:w="0" w:type="dxa"/>
          <w:start w:w="0" w:type="dxa"/>
          <w:bottom w:w="0" w:type="dxa"/>
          <w:end w:w="0" w:type="dxa"/>
        </w:tblCellMar>
      </w:tblPr>
      <w:tblGrid>
        <w:gridCol w:w="2405"/>
        <w:gridCol w:w="800"/>
        <w:gridCol w:w="800"/>
        <w:gridCol w:w="800"/>
        <w:gridCol w:w="800"/>
        <w:gridCol w:w="800"/>
        <w:gridCol w:w="815"/>
      </w:tblGrid>
      <w:tr>
        <w:trPr/>
        <w:tc>
          <w:tcPr>
            <w:tcW w:w="2405" w:type="dxa"/>
            <w:tcBorders/>
            <w:vAlign w:val="center"/>
          </w:tcPr>
          <w:p>
            <w:pPr>
              <w:pStyle w:val="TableContents"/>
              <w:bidi w:val="0"/>
              <w:spacing w:before="0" w:after="283"/>
              <w:jc w:val="start"/>
              <w:rPr>
                <w:sz w:val="4"/>
                <w:szCs w:val="4"/>
              </w:rPr>
            </w:pPr>
            <w:r>
              <w:rPr>
                <w:sz w:val="4"/>
                <w:szCs w:val="4"/>
              </w:rPr>
            </w:r>
          </w:p>
        </w:tc>
        <w:tc>
          <w:tcPr>
            <w:tcW w:w="800" w:type="dxa"/>
            <w:tcBorders/>
            <w:vAlign w:val="center"/>
          </w:tcPr>
          <w:p>
            <w:pPr>
              <w:pStyle w:val="TableContents"/>
              <w:bidi w:val="0"/>
              <w:spacing w:before="0" w:after="283"/>
              <w:jc w:val="start"/>
              <w:rPr/>
            </w:pPr>
            <w:r>
              <w:rPr/>
              <w:t xml:space="preserve">2003 </w:t>
            </w:r>
          </w:p>
        </w:tc>
        <w:tc>
          <w:tcPr>
            <w:tcW w:w="800" w:type="dxa"/>
            <w:tcBorders/>
            <w:vAlign w:val="center"/>
          </w:tcPr>
          <w:p>
            <w:pPr>
              <w:pStyle w:val="TableContents"/>
              <w:bidi w:val="0"/>
              <w:spacing w:before="0" w:after="283"/>
              <w:jc w:val="start"/>
              <w:rPr/>
            </w:pPr>
            <w:r>
              <w:rPr/>
              <w:t xml:space="preserve">2004 </w:t>
            </w:r>
          </w:p>
        </w:tc>
        <w:tc>
          <w:tcPr>
            <w:tcW w:w="800" w:type="dxa"/>
            <w:tcBorders/>
            <w:vAlign w:val="center"/>
          </w:tcPr>
          <w:p>
            <w:pPr>
              <w:pStyle w:val="TableContents"/>
              <w:bidi w:val="0"/>
              <w:spacing w:before="0" w:after="283"/>
              <w:jc w:val="start"/>
              <w:rPr/>
            </w:pPr>
            <w:r>
              <w:rPr/>
              <w:t xml:space="preserve">2005 </w:t>
            </w:r>
          </w:p>
        </w:tc>
        <w:tc>
          <w:tcPr>
            <w:tcW w:w="800" w:type="dxa"/>
            <w:tcBorders/>
            <w:vAlign w:val="center"/>
          </w:tcPr>
          <w:p>
            <w:pPr>
              <w:pStyle w:val="TableContents"/>
              <w:bidi w:val="0"/>
              <w:spacing w:before="0" w:after="283"/>
              <w:jc w:val="start"/>
              <w:rPr/>
            </w:pPr>
            <w:r>
              <w:rPr/>
              <w:t xml:space="preserve">2006 </w:t>
            </w:r>
          </w:p>
        </w:tc>
        <w:tc>
          <w:tcPr>
            <w:tcW w:w="800" w:type="dxa"/>
            <w:tcBorders/>
            <w:vAlign w:val="center"/>
          </w:tcPr>
          <w:p>
            <w:pPr>
              <w:pStyle w:val="TableContents"/>
              <w:bidi w:val="0"/>
              <w:spacing w:before="0" w:after="283"/>
              <w:jc w:val="start"/>
              <w:rPr/>
            </w:pPr>
            <w:r>
              <w:rPr/>
              <w:t xml:space="preserve">2007 </w:t>
            </w:r>
          </w:p>
        </w:tc>
        <w:tc>
          <w:tcPr>
            <w:tcW w:w="815" w:type="dxa"/>
            <w:tcBorders/>
            <w:vAlign w:val="center"/>
          </w:tcPr>
          <w:p>
            <w:pPr>
              <w:pStyle w:val="TableContents"/>
              <w:bidi w:val="0"/>
              <w:spacing w:before="0" w:after="283"/>
              <w:jc w:val="start"/>
              <w:rPr/>
            </w:pPr>
            <w:r>
              <w:rPr/>
              <w:t xml:space="preserve">2008 </w:t>
            </w:r>
          </w:p>
        </w:tc>
      </w:tr>
      <w:tr>
        <w:trPr/>
        <w:tc>
          <w:tcPr>
            <w:tcW w:w="2405" w:type="dxa"/>
            <w:tcBorders/>
            <w:vAlign w:val="center"/>
          </w:tcPr>
          <w:p>
            <w:pPr>
              <w:pStyle w:val="TableContents"/>
              <w:bidi w:val="0"/>
              <w:jc w:val="start"/>
              <w:rPr/>
            </w:pPr>
            <w:r>
              <w:rPr/>
              <w:t xml:space="preserve">Total Wages </w:t>
            </w:r>
          </w:p>
          <w:p>
            <w:pPr>
              <w:pStyle w:val="TableContents"/>
              <w:bidi w:val="0"/>
              <w:spacing w:before="0" w:after="283"/>
              <w:jc w:val="start"/>
              <w:rPr/>
            </w:pPr>
            <w:r>
              <w:rPr/>
              <w:t xml:space="preserve">£, 000 </w:t>
            </w:r>
          </w:p>
        </w:tc>
        <w:tc>
          <w:tcPr>
            <w:tcW w:w="800" w:type="dxa"/>
            <w:tcBorders/>
            <w:vAlign w:val="center"/>
          </w:tcPr>
          <w:p>
            <w:pPr>
              <w:pStyle w:val="TableContents"/>
              <w:bidi w:val="0"/>
              <w:spacing w:before="0" w:after="283"/>
              <w:jc w:val="start"/>
              <w:rPr/>
            </w:pPr>
            <w:r>
              <w:rPr/>
              <w:t xml:space="preserve">33, 097 </w:t>
            </w:r>
          </w:p>
        </w:tc>
        <w:tc>
          <w:tcPr>
            <w:tcW w:w="800" w:type="dxa"/>
            <w:tcBorders/>
            <w:vAlign w:val="center"/>
          </w:tcPr>
          <w:p>
            <w:pPr>
              <w:pStyle w:val="TableContents"/>
              <w:bidi w:val="0"/>
              <w:spacing w:before="0" w:after="283"/>
              <w:jc w:val="start"/>
              <w:rPr/>
            </w:pPr>
            <w:r>
              <w:rPr/>
              <w:t xml:space="preserve">40, 502 </w:t>
            </w:r>
          </w:p>
        </w:tc>
        <w:tc>
          <w:tcPr>
            <w:tcW w:w="800" w:type="dxa"/>
            <w:tcBorders/>
            <w:vAlign w:val="center"/>
          </w:tcPr>
          <w:p>
            <w:pPr>
              <w:pStyle w:val="TableContents"/>
              <w:bidi w:val="0"/>
              <w:spacing w:before="0" w:after="283"/>
              <w:jc w:val="start"/>
              <w:rPr/>
            </w:pPr>
            <w:r>
              <w:rPr/>
              <w:t xml:space="preserve">37, 394 </w:t>
            </w:r>
          </w:p>
        </w:tc>
        <w:tc>
          <w:tcPr>
            <w:tcW w:w="800" w:type="dxa"/>
            <w:tcBorders/>
            <w:vAlign w:val="center"/>
          </w:tcPr>
          <w:p>
            <w:pPr>
              <w:pStyle w:val="TableContents"/>
              <w:bidi w:val="0"/>
              <w:spacing w:before="0" w:after="283"/>
              <w:jc w:val="start"/>
              <w:rPr/>
            </w:pPr>
            <w:r>
              <w:rPr/>
              <w:t xml:space="preserve">32, 490 </w:t>
            </w:r>
          </w:p>
        </w:tc>
        <w:tc>
          <w:tcPr>
            <w:tcW w:w="800" w:type="dxa"/>
            <w:tcBorders/>
            <w:vAlign w:val="center"/>
          </w:tcPr>
          <w:p>
            <w:pPr>
              <w:pStyle w:val="TableContents"/>
              <w:bidi w:val="0"/>
              <w:spacing w:before="0" w:after="283"/>
              <w:jc w:val="start"/>
              <w:rPr/>
            </w:pPr>
            <w:r>
              <w:rPr/>
              <w:t xml:space="preserve">36, 421 </w:t>
            </w:r>
          </w:p>
        </w:tc>
        <w:tc>
          <w:tcPr>
            <w:tcW w:w="815" w:type="dxa"/>
            <w:tcBorders/>
            <w:vAlign w:val="center"/>
          </w:tcPr>
          <w:p>
            <w:pPr>
              <w:pStyle w:val="TableContents"/>
              <w:bidi w:val="0"/>
              <w:spacing w:before="0" w:after="283"/>
              <w:jc w:val="start"/>
              <w:rPr/>
            </w:pPr>
            <w:r>
              <w:rPr/>
              <w:t xml:space="preserve">38, 981 </w:t>
            </w:r>
          </w:p>
        </w:tc>
      </w:tr>
      <w:tr>
        <w:trPr/>
        <w:tc>
          <w:tcPr>
            <w:tcW w:w="2405" w:type="dxa"/>
            <w:tcBorders/>
            <w:vAlign w:val="center"/>
          </w:tcPr>
          <w:p>
            <w:pPr>
              <w:pStyle w:val="TableContents"/>
              <w:bidi w:val="0"/>
              <w:jc w:val="start"/>
              <w:rPr/>
            </w:pPr>
            <w:r>
              <w:rPr/>
              <w:t xml:space="preserve">Wage to Turnover Ratio </w:t>
            </w:r>
          </w:p>
          <w:p>
            <w:pPr>
              <w:pStyle w:val="TableContents"/>
              <w:bidi w:val="0"/>
              <w:spacing w:before="0" w:after="283"/>
              <w:jc w:val="start"/>
              <w:rPr/>
            </w:pPr>
            <w:r>
              <w:rPr/>
              <w:t xml:space="preserve">% </w:t>
            </w:r>
          </w:p>
        </w:tc>
        <w:tc>
          <w:tcPr>
            <w:tcW w:w="800" w:type="dxa"/>
            <w:tcBorders/>
            <w:vAlign w:val="center"/>
          </w:tcPr>
          <w:p>
            <w:pPr>
              <w:pStyle w:val="TableContents"/>
              <w:bidi w:val="0"/>
              <w:spacing w:before="0" w:after="283"/>
              <w:jc w:val="start"/>
              <w:rPr/>
            </w:pPr>
            <w:r>
              <w:rPr/>
              <w:t xml:space="preserve">55 </w:t>
            </w:r>
          </w:p>
        </w:tc>
        <w:tc>
          <w:tcPr>
            <w:tcW w:w="800" w:type="dxa"/>
            <w:tcBorders/>
            <w:vAlign w:val="center"/>
          </w:tcPr>
          <w:p>
            <w:pPr>
              <w:pStyle w:val="TableContents"/>
              <w:bidi w:val="0"/>
              <w:spacing w:before="0" w:after="283"/>
              <w:jc w:val="start"/>
              <w:rPr/>
            </w:pPr>
            <w:r>
              <w:rPr/>
              <w:t xml:space="preserve">59 </w:t>
            </w:r>
          </w:p>
        </w:tc>
        <w:tc>
          <w:tcPr>
            <w:tcW w:w="800" w:type="dxa"/>
            <w:tcBorders/>
            <w:vAlign w:val="center"/>
          </w:tcPr>
          <w:p>
            <w:pPr>
              <w:pStyle w:val="TableContents"/>
              <w:bidi w:val="0"/>
              <w:spacing w:before="0" w:after="283"/>
              <w:jc w:val="start"/>
              <w:rPr/>
            </w:pPr>
            <w:r>
              <w:rPr/>
              <w:t xml:space="preserve">60 </w:t>
            </w:r>
          </w:p>
        </w:tc>
        <w:tc>
          <w:tcPr>
            <w:tcW w:w="800" w:type="dxa"/>
            <w:tcBorders/>
            <w:vAlign w:val="center"/>
          </w:tcPr>
          <w:p>
            <w:pPr>
              <w:pStyle w:val="TableContents"/>
              <w:bidi w:val="0"/>
              <w:spacing w:before="0" w:after="283"/>
              <w:jc w:val="start"/>
              <w:rPr/>
            </w:pPr>
            <w:r>
              <w:rPr/>
              <w:t xml:space="preserve">57 </w:t>
            </w:r>
          </w:p>
        </w:tc>
        <w:tc>
          <w:tcPr>
            <w:tcW w:w="800" w:type="dxa"/>
            <w:tcBorders/>
            <w:vAlign w:val="center"/>
          </w:tcPr>
          <w:p>
            <w:pPr>
              <w:pStyle w:val="TableContents"/>
              <w:bidi w:val="0"/>
              <w:spacing w:before="0" w:after="283"/>
              <w:jc w:val="start"/>
              <w:rPr/>
            </w:pPr>
            <w:r>
              <w:rPr/>
              <w:t xml:space="preserve">48 </w:t>
            </w:r>
          </w:p>
        </w:tc>
        <w:tc>
          <w:tcPr>
            <w:tcW w:w="815" w:type="dxa"/>
            <w:tcBorders/>
            <w:vAlign w:val="center"/>
          </w:tcPr>
          <w:p>
            <w:pPr>
              <w:pStyle w:val="TableContents"/>
              <w:bidi w:val="0"/>
              <w:spacing w:before="0" w:after="283"/>
              <w:jc w:val="start"/>
              <w:rPr/>
            </w:pPr>
            <w:r>
              <w:rPr/>
              <w:t xml:space="preserve">53 </w:t>
            </w:r>
          </w:p>
        </w:tc>
      </w:tr>
    </w:tbl>
    <w:p>
      <w:pPr>
        <w:pStyle w:val="TextBody"/>
        <w:bidi w:val="0"/>
        <w:spacing w:before="0" w:after="283"/>
        <w:jc w:val="start"/>
        <w:rPr/>
      </w:pPr>
      <w:r>
        <w:rPr/>
        <w:t xml:space="preserve">Celtic continued to carry the heaviest wage burden in the SPL. At £39m the employee costs for 2008 were 14% higher than their Old Firm rivals, partly due to having greater numbers of players in the high earning bracket. This increase in wage costs, coupled with the fall in turnover, led to an increase in the wage to turnover ratio to 53%, which is still comfortably below the recommended sustainable ratio of 60%. </w:t>
      </w:r>
    </w:p>
    <w:p>
      <w:pPr>
        <w:pStyle w:val="TextBody"/>
        <w:bidi w:val="0"/>
        <w:spacing w:before="0" w:after="283"/>
        <w:jc w:val="start"/>
        <w:rPr/>
      </w:pPr>
      <w:r>
        <w:rPr/>
        <w:t xml:space="preserve">Profit loss before tax </w:t>
      </w:r>
    </w:p>
    <w:tbl>
      <w:tblPr>
        <w:tblW w:w="7040" w:type="dxa"/>
        <w:jc w:val="start"/>
        <w:tblInd w:w="0" w:type="dxa"/>
        <w:tblLayout w:type="fixed"/>
        <w:tblCellMar>
          <w:top w:w="0" w:type="dxa"/>
          <w:start w:w="0" w:type="dxa"/>
          <w:bottom w:w="0" w:type="dxa"/>
          <w:end w:w="0" w:type="dxa"/>
        </w:tblCellMar>
      </w:tblPr>
      <w:tblGrid>
        <w:gridCol w:w="2225"/>
        <w:gridCol w:w="830"/>
        <w:gridCol w:w="830"/>
        <w:gridCol w:w="830"/>
        <w:gridCol w:w="830"/>
        <w:gridCol w:w="800"/>
        <w:gridCol w:w="695"/>
      </w:tblGrid>
      <w:tr>
        <w:trPr/>
        <w:tc>
          <w:tcPr>
            <w:tcW w:w="2225" w:type="dxa"/>
            <w:tcBorders/>
            <w:vAlign w:val="center"/>
          </w:tcPr>
          <w:p>
            <w:pPr>
              <w:pStyle w:val="TableContents"/>
              <w:bidi w:val="0"/>
              <w:spacing w:before="0" w:after="283"/>
              <w:jc w:val="start"/>
              <w:rPr>
                <w:sz w:val="4"/>
                <w:szCs w:val="4"/>
              </w:rPr>
            </w:pPr>
            <w:r>
              <w:rPr>
                <w:sz w:val="4"/>
                <w:szCs w:val="4"/>
              </w:rPr>
            </w:r>
          </w:p>
        </w:tc>
        <w:tc>
          <w:tcPr>
            <w:tcW w:w="830" w:type="dxa"/>
            <w:tcBorders/>
            <w:vAlign w:val="center"/>
          </w:tcPr>
          <w:p>
            <w:pPr>
              <w:pStyle w:val="TableContents"/>
              <w:bidi w:val="0"/>
              <w:spacing w:before="0" w:after="283"/>
              <w:jc w:val="start"/>
              <w:rPr/>
            </w:pPr>
            <w:r>
              <w:rPr/>
              <w:t xml:space="preserve">2003 </w:t>
            </w:r>
          </w:p>
        </w:tc>
        <w:tc>
          <w:tcPr>
            <w:tcW w:w="830" w:type="dxa"/>
            <w:tcBorders/>
            <w:vAlign w:val="center"/>
          </w:tcPr>
          <w:p>
            <w:pPr>
              <w:pStyle w:val="TableContents"/>
              <w:bidi w:val="0"/>
              <w:spacing w:before="0" w:after="283"/>
              <w:jc w:val="start"/>
              <w:rPr/>
            </w:pPr>
            <w:r>
              <w:rPr/>
              <w:t xml:space="preserve">2004 </w:t>
            </w:r>
          </w:p>
        </w:tc>
        <w:tc>
          <w:tcPr>
            <w:tcW w:w="830" w:type="dxa"/>
            <w:tcBorders/>
            <w:vAlign w:val="center"/>
          </w:tcPr>
          <w:p>
            <w:pPr>
              <w:pStyle w:val="TableContents"/>
              <w:bidi w:val="0"/>
              <w:spacing w:before="0" w:after="283"/>
              <w:jc w:val="start"/>
              <w:rPr/>
            </w:pPr>
            <w:r>
              <w:rPr/>
              <w:t xml:space="preserve">2005 </w:t>
            </w:r>
          </w:p>
        </w:tc>
        <w:tc>
          <w:tcPr>
            <w:tcW w:w="830" w:type="dxa"/>
            <w:tcBorders/>
            <w:vAlign w:val="center"/>
          </w:tcPr>
          <w:p>
            <w:pPr>
              <w:pStyle w:val="TableContents"/>
              <w:bidi w:val="0"/>
              <w:spacing w:before="0" w:after="283"/>
              <w:jc w:val="start"/>
              <w:rPr/>
            </w:pPr>
            <w:r>
              <w:rPr/>
              <w:t xml:space="preserve">2006 </w:t>
            </w:r>
          </w:p>
        </w:tc>
        <w:tc>
          <w:tcPr>
            <w:tcW w:w="800" w:type="dxa"/>
            <w:tcBorders/>
            <w:vAlign w:val="center"/>
          </w:tcPr>
          <w:p>
            <w:pPr>
              <w:pStyle w:val="TableContents"/>
              <w:bidi w:val="0"/>
              <w:spacing w:before="0" w:after="283"/>
              <w:jc w:val="start"/>
              <w:rPr/>
            </w:pPr>
            <w:r>
              <w:rPr/>
              <w:t xml:space="preserve">2007 </w:t>
            </w:r>
          </w:p>
        </w:tc>
        <w:tc>
          <w:tcPr>
            <w:tcW w:w="695" w:type="dxa"/>
            <w:tcBorders/>
            <w:vAlign w:val="center"/>
          </w:tcPr>
          <w:p>
            <w:pPr>
              <w:pStyle w:val="TableContents"/>
              <w:bidi w:val="0"/>
              <w:spacing w:before="0" w:after="283"/>
              <w:jc w:val="start"/>
              <w:rPr/>
            </w:pPr>
            <w:r>
              <w:rPr/>
              <w:t xml:space="preserve">2008 </w:t>
            </w:r>
          </w:p>
        </w:tc>
      </w:tr>
      <w:tr>
        <w:trPr/>
        <w:tc>
          <w:tcPr>
            <w:tcW w:w="2225" w:type="dxa"/>
            <w:tcBorders/>
            <w:vAlign w:val="center"/>
          </w:tcPr>
          <w:p>
            <w:pPr>
              <w:pStyle w:val="TableContents"/>
              <w:bidi w:val="0"/>
              <w:jc w:val="start"/>
              <w:rPr/>
            </w:pPr>
            <w:r>
              <w:rPr/>
              <w:t xml:space="preserve">Profit(Loss) before tax </w:t>
            </w:r>
          </w:p>
          <w:p>
            <w:pPr>
              <w:pStyle w:val="TableContents"/>
              <w:bidi w:val="0"/>
              <w:spacing w:before="0" w:after="283"/>
              <w:jc w:val="start"/>
              <w:rPr/>
            </w:pPr>
            <w:r>
              <w:rPr/>
              <w:t xml:space="preserve">£, 000 </w:t>
            </w:r>
          </w:p>
        </w:tc>
        <w:tc>
          <w:tcPr>
            <w:tcW w:w="830" w:type="dxa"/>
            <w:tcBorders/>
            <w:vAlign w:val="center"/>
          </w:tcPr>
          <w:p>
            <w:pPr>
              <w:pStyle w:val="TableContents"/>
              <w:bidi w:val="0"/>
              <w:spacing w:before="0" w:after="283"/>
              <w:jc w:val="start"/>
              <w:rPr/>
            </w:pPr>
            <w:r>
              <w:rPr/>
              <w:t xml:space="preserve">(5, 794) </w:t>
            </w:r>
          </w:p>
        </w:tc>
        <w:tc>
          <w:tcPr>
            <w:tcW w:w="830" w:type="dxa"/>
            <w:tcBorders/>
            <w:vAlign w:val="center"/>
          </w:tcPr>
          <w:p>
            <w:pPr>
              <w:pStyle w:val="TableContents"/>
              <w:bidi w:val="0"/>
              <w:spacing w:before="0" w:after="283"/>
              <w:jc w:val="start"/>
              <w:rPr/>
            </w:pPr>
            <w:r>
              <w:rPr/>
              <w:t xml:space="preserve">(7, 471) </w:t>
            </w:r>
          </w:p>
        </w:tc>
        <w:tc>
          <w:tcPr>
            <w:tcW w:w="830" w:type="dxa"/>
            <w:tcBorders/>
            <w:vAlign w:val="center"/>
          </w:tcPr>
          <w:p>
            <w:pPr>
              <w:pStyle w:val="TableContents"/>
              <w:bidi w:val="0"/>
              <w:spacing w:before="0" w:after="283"/>
              <w:jc w:val="start"/>
              <w:rPr/>
            </w:pPr>
            <w:r>
              <w:rPr/>
              <w:t xml:space="preserve">(7, 733) </w:t>
            </w:r>
          </w:p>
        </w:tc>
        <w:tc>
          <w:tcPr>
            <w:tcW w:w="830" w:type="dxa"/>
            <w:tcBorders/>
            <w:vAlign w:val="center"/>
          </w:tcPr>
          <w:p>
            <w:pPr>
              <w:pStyle w:val="TableContents"/>
              <w:bidi w:val="0"/>
              <w:spacing w:before="0" w:after="283"/>
              <w:jc w:val="start"/>
              <w:rPr/>
            </w:pPr>
            <w:r>
              <w:rPr/>
              <w:t xml:space="preserve">(4, 222) </w:t>
            </w:r>
          </w:p>
        </w:tc>
        <w:tc>
          <w:tcPr>
            <w:tcW w:w="800" w:type="dxa"/>
            <w:tcBorders/>
            <w:vAlign w:val="center"/>
          </w:tcPr>
          <w:p>
            <w:pPr>
              <w:pStyle w:val="TableContents"/>
              <w:bidi w:val="0"/>
              <w:spacing w:before="0" w:after="283"/>
              <w:jc w:val="start"/>
              <w:rPr/>
            </w:pPr>
            <w:r>
              <w:rPr/>
              <w:t xml:space="preserve">15, 040 </w:t>
            </w:r>
          </w:p>
        </w:tc>
        <w:tc>
          <w:tcPr>
            <w:tcW w:w="695" w:type="dxa"/>
            <w:tcBorders/>
            <w:vAlign w:val="center"/>
          </w:tcPr>
          <w:p>
            <w:pPr>
              <w:pStyle w:val="TableContents"/>
              <w:bidi w:val="0"/>
              <w:spacing w:before="0" w:after="283"/>
              <w:jc w:val="start"/>
              <w:rPr/>
            </w:pPr>
            <w:r>
              <w:rPr/>
              <w:t xml:space="preserve">4, 435 </w:t>
            </w:r>
          </w:p>
        </w:tc>
      </w:tr>
      <w:tr>
        <w:trPr/>
        <w:tc>
          <w:tcPr>
            <w:tcW w:w="2225" w:type="dxa"/>
            <w:tcBorders/>
            <w:vAlign w:val="center"/>
          </w:tcPr>
          <w:p>
            <w:pPr>
              <w:pStyle w:val="TableContents"/>
              <w:bidi w:val="0"/>
              <w:jc w:val="start"/>
              <w:rPr/>
            </w:pPr>
            <w:r>
              <w:rPr/>
              <w:t xml:space="preserve">Movement </w:t>
            </w:r>
          </w:p>
          <w:p>
            <w:pPr>
              <w:pStyle w:val="TableContents"/>
              <w:bidi w:val="0"/>
              <w:spacing w:before="0" w:after="283"/>
              <w:jc w:val="start"/>
              <w:rPr/>
            </w:pPr>
            <w:r>
              <w:rPr/>
              <w:t xml:space="preserve">% </w:t>
            </w:r>
          </w:p>
        </w:tc>
        <w:tc>
          <w:tcPr>
            <w:tcW w:w="830" w:type="dxa"/>
            <w:tcBorders/>
            <w:vAlign w:val="center"/>
          </w:tcPr>
          <w:p>
            <w:pPr>
              <w:pStyle w:val="TableContents"/>
              <w:bidi w:val="0"/>
              <w:spacing w:before="0" w:after="283"/>
              <w:jc w:val="start"/>
              <w:rPr>
                <w:sz w:val="4"/>
                <w:szCs w:val="4"/>
              </w:rPr>
            </w:pPr>
            <w:r>
              <w:rPr>
                <w:sz w:val="4"/>
                <w:szCs w:val="4"/>
              </w:rPr>
            </w:r>
          </w:p>
        </w:tc>
        <w:tc>
          <w:tcPr>
            <w:tcW w:w="830" w:type="dxa"/>
            <w:tcBorders/>
            <w:vAlign w:val="center"/>
          </w:tcPr>
          <w:p>
            <w:pPr>
              <w:pStyle w:val="TableContents"/>
              <w:bidi w:val="0"/>
              <w:spacing w:before="0" w:after="283"/>
              <w:jc w:val="start"/>
              <w:rPr/>
            </w:pPr>
            <w:r>
              <w:rPr/>
              <w:t xml:space="preserve">(29) </w:t>
            </w:r>
          </w:p>
        </w:tc>
        <w:tc>
          <w:tcPr>
            <w:tcW w:w="830" w:type="dxa"/>
            <w:tcBorders/>
            <w:vAlign w:val="center"/>
          </w:tcPr>
          <w:p>
            <w:pPr>
              <w:pStyle w:val="TableContents"/>
              <w:bidi w:val="0"/>
              <w:spacing w:before="0" w:after="283"/>
              <w:jc w:val="start"/>
              <w:rPr/>
            </w:pPr>
            <w:r>
              <w:rPr/>
              <w:t xml:space="preserve">(4) </w:t>
            </w:r>
          </w:p>
        </w:tc>
        <w:tc>
          <w:tcPr>
            <w:tcW w:w="830" w:type="dxa"/>
            <w:tcBorders/>
            <w:vAlign w:val="center"/>
          </w:tcPr>
          <w:p>
            <w:pPr>
              <w:pStyle w:val="TableContents"/>
              <w:bidi w:val="0"/>
              <w:spacing w:before="0" w:after="283"/>
              <w:jc w:val="start"/>
              <w:rPr/>
            </w:pPr>
            <w:r>
              <w:rPr/>
              <w:t xml:space="preserve">52 </w:t>
            </w:r>
          </w:p>
        </w:tc>
        <w:tc>
          <w:tcPr>
            <w:tcW w:w="800" w:type="dxa"/>
            <w:tcBorders/>
            <w:vAlign w:val="center"/>
          </w:tcPr>
          <w:p>
            <w:pPr>
              <w:pStyle w:val="TableContents"/>
              <w:bidi w:val="0"/>
              <w:spacing w:before="0" w:after="283"/>
              <w:jc w:val="start"/>
              <w:rPr/>
            </w:pPr>
            <w:r>
              <w:rPr/>
              <w:t xml:space="preserve">456 </w:t>
            </w:r>
          </w:p>
        </w:tc>
        <w:tc>
          <w:tcPr>
            <w:tcW w:w="695" w:type="dxa"/>
            <w:tcBorders/>
            <w:vAlign w:val="center"/>
          </w:tcPr>
          <w:p>
            <w:pPr>
              <w:pStyle w:val="TableContents"/>
              <w:bidi w:val="0"/>
              <w:spacing w:before="0" w:after="283"/>
              <w:jc w:val="start"/>
              <w:rPr/>
            </w:pPr>
            <w:r>
              <w:rPr/>
              <w:t xml:space="preserve">(71) </w:t>
            </w:r>
          </w:p>
        </w:tc>
      </w:tr>
    </w:tbl>
    <w:p>
      <w:pPr>
        <w:pStyle w:val="TextBody"/>
        <w:bidi w:val="0"/>
        <w:spacing w:before="0" w:after="283"/>
        <w:jc w:val="start"/>
        <w:rPr/>
      </w:pPr>
      <w:r>
        <w:rPr/>
        <w:t xml:space="preserve">For the fourth successive season, Celtic continued to lead by example in the club’s ability to combine on-field success with stellar financial results. The Parkhead outfit once again generated an operating profit and nearly managed to preserve its record levels of turnover achieved during the previous season. Aided by record levels of turnover and significant gains on the sale of players, the club managed to convert this into a record bottom line profit before tax of £15m. Moreover the net gains made on the sale of players enabled the club to convert this into a secure bottom line profit before tax of £4. 4m this year. Although down substantially from the previous campaign, this profit is indicative of the club’s solid financial core and worldwide commercial appeal. </w:t>
      </w:r>
    </w:p>
    <w:p>
      <w:pPr>
        <w:pStyle w:val="TextBody"/>
        <w:bidi w:val="0"/>
        <w:spacing w:before="0" w:after="283"/>
        <w:jc w:val="start"/>
        <w:rPr/>
      </w:pPr>
      <w:r>
        <w:rPr/>
        <w:t xml:space="preserve">Cash flow </w:t>
      </w:r>
    </w:p>
    <w:tbl>
      <w:tblPr>
        <w:tblW w:w="6320" w:type="dxa"/>
        <w:jc w:val="start"/>
        <w:tblInd w:w="0" w:type="dxa"/>
        <w:tblLayout w:type="fixed"/>
        <w:tblCellMar>
          <w:top w:w="0" w:type="dxa"/>
          <w:start w:w="0" w:type="dxa"/>
          <w:bottom w:w="0" w:type="dxa"/>
          <w:end w:w="0" w:type="dxa"/>
        </w:tblCellMar>
      </w:tblPr>
      <w:tblGrid>
        <w:gridCol w:w="1475"/>
        <w:gridCol w:w="830"/>
        <w:gridCol w:w="830"/>
        <w:gridCol w:w="830"/>
        <w:gridCol w:w="830"/>
        <w:gridCol w:w="830"/>
        <w:gridCol w:w="695"/>
      </w:tblGrid>
      <w:tr>
        <w:trPr/>
        <w:tc>
          <w:tcPr>
            <w:tcW w:w="1475" w:type="dxa"/>
            <w:tcBorders/>
            <w:vAlign w:val="center"/>
          </w:tcPr>
          <w:p>
            <w:pPr>
              <w:pStyle w:val="TableContents"/>
              <w:bidi w:val="0"/>
              <w:spacing w:before="0" w:after="283"/>
              <w:jc w:val="start"/>
              <w:rPr>
                <w:sz w:val="4"/>
                <w:szCs w:val="4"/>
              </w:rPr>
            </w:pPr>
            <w:r>
              <w:rPr>
                <w:sz w:val="4"/>
                <w:szCs w:val="4"/>
              </w:rPr>
            </w:r>
          </w:p>
        </w:tc>
        <w:tc>
          <w:tcPr>
            <w:tcW w:w="830" w:type="dxa"/>
            <w:tcBorders/>
            <w:vAlign w:val="center"/>
          </w:tcPr>
          <w:p>
            <w:pPr>
              <w:pStyle w:val="TableContents"/>
              <w:bidi w:val="0"/>
              <w:spacing w:before="0" w:after="283"/>
              <w:jc w:val="start"/>
              <w:rPr/>
            </w:pPr>
            <w:r>
              <w:rPr/>
              <w:t xml:space="preserve">2003 </w:t>
            </w:r>
          </w:p>
        </w:tc>
        <w:tc>
          <w:tcPr>
            <w:tcW w:w="830" w:type="dxa"/>
            <w:tcBorders/>
            <w:vAlign w:val="center"/>
          </w:tcPr>
          <w:p>
            <w:pPr>
              <w:pStyle w:val="TableContents"/>
              <w:bidi w:val="0"/>
              <w:spacing w:before="0" w:after="283"/>
              <w:jc w:val="start"/>
              <w:rPr/>
            </w:pPr>
            <w:r>
              <w:rPr/>
              <w:t xml:space="preserve">2004 </w:t>
            </w:r>
          </w:p>
        </w:tc>
        <w:tc>
          <w:tcPr>
            <w:tcW w:w="830" w:type="dxa"/>
            <w:tcBorders/>
            <w:vAlign w:val="center"/>
          </w:tcPr>
          <w:p>
            <w:pPr>
              <w:pStyle w:val="TableContents"/>
              <w:bidi w:val="0"/>
              <w:spacing w:before="0" w:after="283"/>
              <w:jc w:val="start"/>
              <w:rPr/>
            </w:pPr>
            <w:r>
              <w:rPr/>
              <w:t xml:space="preserve">2005 </w:t>
            </w:r>
          </w:p>
        </w:tc>
        <w:tc>
          <w:tcPr>
            <w:tcW w:w="830" w:type="dxa"/>
            <w:tcBorders/>
            <w:vAlign w:val="center"/>
          </w:tcPr>
          <w:p>
            <w:pPr>
              <w:pStyle w:val="TableContents"/>
              <w:bidi w:val="0"/>
              <w:spacing w:before="0" w:after="283"/>
              <w:jc w:val="start"/>
              <w:rPr/>
            </w:pPr>
            <w:r>
              <w:rPr/>
              <w:t xml:space="preserve">2006 </w:t>
            </w:r>
          </w:p>
        </w:tc>
        <w:tc>
          <w:tcPr>
            <w:tcW w:w="830" w:type="dxa"/>
            <w:tcBorders/>
            <w:vAlign w:val="center"/>
          </w:tcPr>
          <w:p>
            <w:pPr>
              <w:pStyle w:val="TableContents"/>
              <w:bidi w:val="0"/>
              <w:spacing w:before="0" w:after="283"/>
              <w:jc w:val="start"/>
              <w:rPr/>
            </w:pPr>
            <w:r>
              <w:rPr/>
              <w:t xml:space="preserve">2007 </w:t>
            </w:r>
          </w:p>
        </w:tc>
        <w:tc>
          <w:tcPr>
            <w:tcW w:w="695" w:type="dxa"/>
            <w:tcBorders/>
            <w:vAlign w:val="center"/>
          </w:tcPr>
          <w:p>
            <w:pPr>
              <w:pStyle w:val="TableContents"/>
              <w:bidi w:val="0"/>
              <w:spacing w:before="0" w:after="283"/>
              <w:jc w:val="start"/>
              <w:rPr/>
            </w:pPr>
            <w:r>
              <w:rPr/>
              <w:t xml:space="preserve">2008 </w:t>
            </w:r>
          </w:p>
        </w:tc>
      </w:tr>
      <w:tr>
        <w:trPr/>
        <w:tc>
          <w:tcPr>
            <w:tcW w:w="1475" w:type="dxa"/>
            <w:tcBorders/>
            <w:vAlign w:val="center"/>
          </w:tcPr>
          <w:p>
            <w:pPr>
              <w:pStyle w:val="TableContents"/>
              <w:bidi w:val="0"/>
              <w:jc w:val="start"/>
              <w:rPr/>
            </w:pPr>
            <w:r>
              <w:rPr/>
              <w:t xml:space="preserve">Net  cash flow </w:t>
            </w:r>
          </w:p>
          <w:p>
            <w:pPr>
              <w:pStyle w:val="TableContents"/>
              <w:bidi w:val="0"/>
              <w:spacing w:before="0" w:after="283"/>
              <w:jc w:val="start"/>
              <w:rPr/>
            </w:pPr>
            <w:r>
              <w:rPr/>
              <w:t xml:space="preserve">£, 000 </w:t>
            </w:r>
          </w:p>
        </w:tc>
        <w:tc>
          <w:tcPr>
            <w:tcW w:w="830" w:type="dxa"/>
            <w:tcBorders/>
            <w:vAlign w:val="center"/>
          </w:tcPr>
          <w:p>
            <w:pPr>
              <w:pStyle w:val="TableContents"/>
              <w:bidi w:val="0"/>
              <w:spacing w:before="0" w:after="283"/>
              <w:jc w:val="start"/>
              <w:rPr/>
            </w:pPr>
            <w:r>
              <w:rPr/>
              <w:t xml:space="preserve">(4, 133) </w:t>
            </w:r>
          </w:p>
        </w:tc>
        <w:tc>
          <w:tcPr>
            <w:tcW w:w="830" w:type="dxa"/>
            <w:tcBorders/>
            <w:vAlign w:val="center"/>
          </w:tcPr>
          <w:p>
            <w:pPr>
              <w:pStyle w:val="TableContents"/>
              <w:bidi w:val="0"/>
              <w:spacing w:before="0" w:after="283"/>
              <w:jc w:val="start"/>
              <w:rPr/>
            </w:pPr>
            <w:r>
              <w:rPr/>
              <w:t xml:space="preserve">(3, 615) </w:t>
            </w:r>
          </w:p>
        </w:tc>
        <w:tc>
          <w:tcPr>
            <w:tcW w:w="830" w:type="dxa"/>
            <w:tcBorders/>
            <w:vAlign w:val="center"/>
          </w:tcPr>
          <w:p>
            <w:pPr>
              <w:pStyle w:val="TableContents"/>
              <w:bidi w:val="0"/>
              <w:spacing w:before="0" w:after="283"/>
              <w:jc w:val="start"/>
              <w:rPr/>
            </w:pPr>
            <w:r>
              <w:rPr/>
              <w:t xml:space="preserve">(2, 541) </w:t>
            </w:r>
          </w:p>
        </w:tc>
        <w:tc>
          <w:tcPr>
            <w:tcW w:w="830" w:type="dxa"/>
            <w:tcBorders/>
            <w:vAlign w:val="center"/>
          </w:tcPr>
          <w:p>
            <w:pPr>
              <w:pStyle w:val="TableContents"/>
              <w:bidi w:val="0"/>
              <w:spacing w:before="0" w:after="283"/>
              <w:jc w:val="start"/>
              <w:rPr/>
            </w:pPr>
            <w:r>
              <w:rPr/>
              <w:t xml:space="preserve">(3, 834) </w:t>
            </w:r>
          </w:p>
        </w:tc>
        <w:tc>
          <w:tcPr>
            <w:tcW w:w="830" w:type="dxa"/>
            <w:tcBorders/>
            <w:vAlign w:val="center"/>
          </w:tcPr>
          <w:p>
            <w:pPr>
              <w:pStyle w:val="TableContents"/>
              <w:bidi w:val="0"/>
              <w:spacing w:before="0" w:after="283"/>
              <w:jc w:val="start"/>
              <w:rPr/>
            </w:pPr>
            <w:r>
              <w:rPr/>
              <w:t xml:space="preserve">(4, 985) </w:t>
            </w:r>
          </w:p>
        </w:tc>
        <w:tc>
          <w:tcPr>
            <w:tcW w:w="695" w:type="dxa"/>
            <w:tcBorders/>
            <w:vAlign w:val="center"/>
          </w:tcPr>
          <w:p>
            <w:pPr>
              <w:pStyle w:val="TableContents"/>
              <w:bidi w:val="0"/>
              <w:spacing w:before="0" w:after="283"/>
              <w:jc w:val="start"/>
              <w:rPr/>
            </w:pPr>
            <w:r>
              <w:rPr/>
              <w:t xml:space="preserve">2, 546 </w:t>
            </w:r>
          </w:p>
        </w:tc>
      </w:tr>
      <w:tr>
        <w:trPr/>
        <w:tc>
          <w:tcPr>
            <w:tcW w:w="1475" w:type="dxa"/>
            <w:tcBorders/>
            <w:vAlign w:val="center"/>
          </w:tcPr>
          <w:p>
            <w:pPr>
              <w:pStyle w:val="TableContents"/>
              <w:bidi w:val="0"/>
              <w:jc w:val="start"/>
              <w:rPr/>
            </w:pPr>
            <w:r>
              <w:rPr/>
              <w:t xml:space="preserve">Movement </w:t>
            </w:r>
          </w:p>
          <w:p>
            <w:pPr>
              <w:pStyle w:val="TableContents"/>
              <w:bidi w:val="0"/>
              <w:spacing w:before="0" w:after="283"/>
              <w:jc w:val="start"/>
              <w:rPr/>
            </w:pPr>
            <w:r>
              <w:rPr/>
              <w:t xml:space="preserve">% </w:t>
            </w:r>
          </w:p>
        </w:tc>
        <w:tc>
          <w:tcPr>
            <w:tcW w:w="830" w:type="dxa"/>
            <w:tcBorders/>
            <w:vAlign w:val="center"/>
          </w:tcPr>
          <w:p>
            <w:pPr>
              <w:pStyle w:val="TableContents"/>
              <w:bidi w:val="0"/>
              <w:spacing w:before="0" w:after="283"/>
              <w:jc w:val="start"/>
              <w:rPr>
                <w:sz w:val="4"/>
                <w:szCs w:val="4"/>
              </w:rPr>
            </w:pPr>
            <w:r>
              <w:rPr>
                <w:sz w:val="4"/>
                <w:szCs w:val="4"/>
              </w:rPr>
            </w:r>
          </w:p>
        </w:tc>
        <w:tc>
          <w:tcPr>
            <w:tcW w:w="830" w:type="dxa"/>
            <w:tcBorders/>
            <w:vAlign w:val="center"/>
          </w:tcPr>
          <w:p>
            <w:pPr>
              <w:pStyle w:val="TableContents"/>
              <w:bidi w:val="0"/>
              <w:spacing w:before="0" w:after="283"/>
              <w:jc w:val="start"/>
              <w:rPr/>
            </w:pPr>
            <w:r>
              <w:rPr/>
              <w:t xml:space="preserve">12. 5 </w:t>
            </w:r>
          </w:p>
        </w:tc>
        <w:tc>
          <w:tcPr>
            <w:tcW w:w="830" w:type="dxa"/>
            <w:tcBorders/>
            <w:vAlign w:val="center"/>
          </w:tcPr>
          <w:p>
            <w:pPr>
              <w:pStyle w:val="TableContents"/>
              <w:bidi w:val="0"/>
              <w:spacing w:before="0" w:after="283"/>
              <w:jc w:val="start"/>
              <w:rPr/>
            </w:pPr>
            <w:r>
              <w:rPr/>
              <w:t xml:space="preserve">29. 7 </w:t>
            </w:r>
          </w:p>
        </w:tc>
        <w:tc>
          <w:tcPr>
            <w:tcW w:w="830" w:type="dxa"/>
            <w:tcBorders/>
            <w:vAlign w:val="center"/>
          </w:tcPr>
          <w:p>
            <w:pPr>
              <w:pStyle w:val="TableContents"/>
              <w:bidi w:val="0"/>
              <w:spacing w:before="0" w:after="283"/>
              <w:jc w:val="start"/>
              <w:rPr/>
            </w:pPr>
            <w:r>
              <w:rPr/>
              <w:t xml:space="preserve">(50. 8) </w:t>
            </w:r>
          </w:p>
        </w:tc>
        <w:tc>
          <w:tcPr>
            <w:tcW w:w="830" w:type="dxa"/>
            <w:tcBorders/>
            <w:vAlign w:val="center"/>
          </w:tcPr>
          <w:p>
            <w:pPr>
              <w:pStyle w:val="TableContents"/>
              <w:bidi w:val="0"/>
              <w:spacing w:before="0" w:after="283"/>
              <w:jc w:val="start"/>
              <w:rPr/>
            </w:pPr>
            <w:r>
              <w:rPr/>
              <w:t xml:space="preserve">(30) </w:t>
            </w:r>
          </w:p>
        </w:tc>
        <w:tc>
          <w:tcPr>
            <w:tcW w:w="695" w:type="dxa"/>
            <w:tcBorders/>
            <w:vAlign w:val="center"/>
          </w:tcPr>
          <w:p>
            <w:pPr>
              <w:pStyle w:val="TableContents"/>
              <w:bidi w:val="0"/>
              <w:spacing w:before="0" w:after="283"/>
              <w:jc w:val="start"/>
              <w:rPr/>
            </w:pPr>
            <w:r>
              <w:rPr/>
              <w:t xml:space="preserve">151 </w:t>
            </w:r>
          </w:p>
        </w:tc>
      </w:tr>
    </w:tbl>
    <w:p>
      <w:pPr>
        <w:pStyle w:val="TextBody"/>
        <w:bidi w:val="0"/>
        <w:spacing w:before="0" w:after="283"/>
        <w:jc w:val="start"/>
        <w:rPr/>
      </w:pPr>
      <w:r>
        <w:rPr/>
        <w:t xml:space="preserve">Celtic’s impressive financial figures once again yielded positive net cash inflow from operating activities of £11. 6m (2007: £18. m). Although significant sums were then reinvested into its new training facilities, the first team squad and the repayment of a further £0. 9m of debt, the Parkhead club still managed to generate a positive cash inflow of £1. 5m, which was significantly down on 2007’s record-breaking season (£4. 1m). </w:t>
      </w:r>
    </w:p>
    <w:p>
      <w:pPr>
        <w:pStyle w:val="TextBody"/>
        <w:bidi w:val="0"/>
        <w:spacing w:before="0" w:after="283"/>
        <w:jc w:val="start"/>
        <w:rPr/>
      </w:pPr>
      <w:r>
        <w:rPr/>
        <w:t xml:space="preserve">Balance sheet overview </w:t>
      </w:r>
    </w:p>
    <w:tbl>
      <w:tblPr>
        <w:tblW w:w="5690" w:type="dxa"/>
        <w:jc w:val="start"/>
        <w:tblInd w:w="0" w:type="dxa"/>
        <w:tblLayout w:type="fixed"/>
        <w:tblCellMar>
          <w:top w:w="0" w:type="dxa"/>
          <w:start w:w="0" w:type="dxa"/>
          <w:bottom w:w="0" w:type="dxa"/>
          <w:end w:w="0" w:type="dxa"/>
        </w:tblCellMar>
      </w:tblPr>
      <w:tblGrid>
        <w:gridCol w:w="1115"/>
        <w:gridCol w:w="800"/>
        <w:gridCol w:w="800"/>
        <w:gridCol w:w="800"/>
        <w:gridCol w:w="800"/>
        <w:gridCol w:w="680"/>
        <w:gridCol w:w="695"/>
      </w:tblGrid>
      <w:tr>
        <w:trPr/>
        <w:tc>
          <w:tcPr>
            <w:tcW w:w="1115" w:type="dxa"/>
            <w:tcBorders/>
            <w:vAlign w:val="center"/>
          </w:tcPr>
          <w:p>
            <w:pPr>
              <w:pStyle w:val="TableContents"/>
              <w:bidi w:val="0"/>
              <w:spacing w:before="0" w:after="283"/>
              <w:jc w:val="start"/>
              <w:rPr>
                <w:sz w:val="4"/>
                <w:szCs w:val="4"/>
              </w:rPr>
            </w:pPr>
            <w:r>
              <w:rPr>
                <w:sz w:val="4"/>
                <w:szCs w:val="4"/>
              </w:rPr>
            </w:r>
          </w:p>
        </w:tc>
        <w:tc>
          <w:tcPr>
            <w:tcW w:w="800" w:type="dxa"/>
            <w:tcBorders/>
            <w:vAlign w:val="center"/>
          </w:tcPr>
          <w:p>
            <w:pPr>
              <w:pStyle w:val="TableContents"/>
              <w:bidi w:val="0"/>
              <w:spacing w:before="0" w:after="283"/>
              <w:jc w:val="start"/>
              <w:rPr/>
            </w:pPr>
            <w:r>
              <w:rPr/>
              <w:t xml:space="preserve">2003 </w:t>
            </w:r>
          </w:p>
        </w:tc>
        <w:tc>
          <w:tcPr>
            <w:tcW w:w="800" w:type="dxa"/>
            <w:tcBorders/>
            <w:vAlign w:val="center"/>
          </w:tcPr>
          <w:p>
            <w:pPr>
              <w:pStyle w:val="TableContents"/>
              <w:bidi w:val="0"/>
              <w:spacing w:before="0" w:after="283"/>
              <w:jc w:val="start"/>
              <w:rPr/>
            </w:pPr>
            <w:r>
              <w:rPr/>
              <w:t xml:space="preserve">2004 </w:t>
            </w:r>
          </w:p>
        </w:tc>
        <w:tc>
          <w:tcPr>
            <w:tcW w:w="800" w:type="dxa"/>
            <w:tcBorders/>
            <w:vAlign w:val="center"/>
          </w:tcPr>
          <w:p>
            <w:pPr>
              <w:pStyle w:val="TableContents"/>
              <w:bidi w:val="0"/>
              <w:spacing w:before="0" w:after="283"/>
              <w:jc w:val="start"/>
              <w:rPr/>
            </w:pPr>
            <w:r>
              <w:rPr/>
              <w:t xml:space="preserve">2005 </w:t>
            </w:r>
          </w:p>
        </w:tc>
        <w:tc>
          <w:tcPr>
            <w:tcW w:w="800" w:type="dxa"/>
            <w:tcBorders/>
            <w:vAlign w:val="center"/>
          </w:tcPr>
          <w:p>
            <w:pPr>
              <w:pStyle w:val="TableContents"/>
              <w:bidi w:val="0"/>
              <w:spacing w:before="0" w:after="283"/>
              <w:jc w:val="start"/>
              <w:rPr/>
            </w:pPr>
            <w:r>
              <w:rPr/>
              <w:t xml:space="preserve">2006 </w:t>
            </w:r>
          </w:p>
        </w:tc>
        <w:tc>
          <w:tcPr>
            <w:tcW w:w="680" w:type="dxa"/>
            <w:tcBorders/>
            <w:vAlign w:val="center"/>
          </w:tcPr>
          <w:p>
            <w:pPr>
              <w:pStyle w:val="TableContents"/>
              <w:bidi w:val="0"/>
              <w:spacing w:before="0" w:after="283"/>
              <w:jc w:val="start"/>
              <w:rPr/>
            </w:pPr>
            <w:r>
              <w:rPr/>
              <w:t xml:space="preserve">2007 </w:t>
            </w:r>
          </w:p>
        </w:tc>
        <w:tc>
          <w:tcPr>
            <w:tcW w:w="695" w:type="dxa"/>
            <w:tcBorders/>
            <w:vAlign w:val="center"/>
          </w:tcPr>
          <w:p>
            <w:pPr>
              <w:pStyle w:val="TableContents"/>
              <w:bidi w:val="0"/>
              <w:spacing w:before="0" w:after="283"/>
              <w:jc w:val="start"/>
              <w:rPr/>
            </w:pPr>
            <w:r>
              <w:rPr/>
              <w:t xml:space="preserve">2008 </w:t>
            </w:r>
          </w:p>
        </w:tc>
      </w:tr>
      <w:tr>
        <w:trPr/>
        <w:tc>
          <w:tcPr>
            <w:tcW w:w="1115" w:type="dxa"/>
            <w:tcBorders/>
            <w:vAlign w:val="center"/>
          </w:tcPr>
          <w:p>
            <w:pPr>
              <w:pStyle w:val="TableContents"/>
              <w:bidi w:val="0"/>
              <w:jc w:val="start"/>
              <w:rPr/>
            </w:pPr>
            <w:r>
              <w:rPr/>
              <w:t xml:space="preserve">Net  debt </w:t>
            </w:r>
          </w:p>
          <w:p>
            <w:pPr>
              <w:pStyle w:val="TableContents"/>
              <w:bidi w:val="0"/>
              <w:spacing w:before="0" w:after="283"/>
              <w:jc w:val="start"/>
              <w:rPr/>
            </w:pPr>
            <w:r>
              <w:rPr/>
              <w:t xml:space="preserve">£, 000 </w:t>
            </w:r>
          </w:p>
        </w:tc>
        <w:tc>
          <w:tcPr>
            <w:tcW w:w="800" w:type="dxa"/>
            <w:tcBorders/>
            <w:vAlign w:val="center"/>
          </w:tcPr>
          <w:p>
            <w:pPr>
              <w:pStyle w:val="TableContents"/>
              <w:bidi w:val="0"/>
              <w:spacing w:before="0" w:after="283"/>
              <w:jc w:val="start"/>
              <w:rPr/>
            </w:pPr>
            <w:r>
              <w:rPr/>
              <w:t xml:space="preserve">17, 782 </w:t>
            </w:r>
          </w:p>
        </w:tc>
        <w:tc>
          <w:tcPr>
            <w:tcW w:w="800" w:type="dxa"/>
            <w:tcBorders/>
            <w:vAlign w:val="center"/>
          </w:tcPr>
          <w:p>
            <w:pPr>
              <w:pStyle w:val="TableContents"/>
              <w:bidi w:val="0"/>
              <w:spacing w:before="0" w:after="283"/>
              <w:jc w:val="start"/>
              <w:rPr/>
            </w:pPr>
            <w:r>
              <w:rPr/>
              <w:t xml:space="preserve">15, 805 </w:t>
            </w:r>
          </w:p>
        </w:tc>
        <w:tc>
          <w:tcPr>
            <w:tcW w:w="800" w:type="dxa"/>
            <w:tcBorders/>
            <w:vAlign w:val="center"/>
          </w:tcPr>
          <w:p>
            <w:pPr>
              <w:pStyle w:val="TableContents"/>
              <w:bidi w:val="0"/>
              <w:spacing w:before="0" w:after="283"/>
              <w:jc w:val="start"/>
              <w:rPr/>
            </w:pPr>
            <w:r>
              <w:rPr/>
              <w:t xml:space="preserve">19, 503 </w:t>
            </w:r>
          </w:p>
        </w:tc>
        <w:tc>
          <w:tcPr>
            <w:tcW w:w="800" w:type="dxa"/>
            <w:tcBorders/>
            <w:vAlign w:val="center"/>
          </w:tcPr>
          <w:p>
            <w:pPr>
              <w:pStyle w:val="TableContents"/>
              <w:bidi w:val="0"/>
              <w:spacing w:before="0" w:after="283"/>
              <w:jc w:val="start"/>
              <w:rPr/>
            </w:pPr>
            <w:r>
              <w:rPr/>
              <w:t xml:space="preserve">13, 965 </w:t>
            </w:r>
          </w:p>
        </w:tc>
        <w:tc>
          <w:tcPr>
            <w:tcW w:w="680" w:type="dxa"/>
            <w:tcBorders/>
            <w:vAlign w:val="center"/>
          </w:tcPr>
          <w:p>
            <w:pPr>
              <w:pStyle w:val="TableContents"/>
              <w:bidi w:val="0"/>
              <w:spacing w:before="0" w:after="283"/>
              <w:jc w:val="start"/>
              <w:rPr/>
            </w:pPr>
            <w:r>
              <w:rPr/>
              <w:t xml:space="preserve">9, 165 </w:t>
            </w:r>
          </w:p>
        </w:tc>
        <w:tc>
          <w:tcPr>
            <w:tcW w:w="695" w:type="dxa"/>
            <w:tcBorders/>
            <w:vAlign w:val="center"/>
          </w:tcPr>
          <w:p>
            <w:pPr>
              <w:pStyle w:val="TableContents"/>
              <w:bidi w:val="0"/>
              <w:spacing w:before="0" w:after="283"/>
              <w:jc w:val="start"/>
              <w:rPr/>
            </w:pPr>
            <w:r>
              <w:rPr/>
              <w:t xml:space="preserve">6, 706 </w:t>
            </w:r>
          </w:p>
        </w:tc>
      </w:tr>
      <w:tr>
        <w:trPr/>
        <w:tc>
          <w:tcPr>
            <w:tcW w:w="1115" w:type="dxa"/>
            <w:tcBorders/>
            <w:vAlign w:val="center"/>
          </w:tcPr>
          <w:p>
            <w:pPr>
              <w:pStyle w:val="TableContents"/>
              <w:bidi w:val="0"/>
              <w:jc w:val="start"/>
              <w:rPr/>
            </w:pPr>
            <w:r>
              <w:rPr/>
              <w:t xml:space="preserve">Movement </w:t>
            </w:r>
          </w:p>
          <w:p>
            <w:pPr>
              <w:pStyle w:val="TableContents"/>
              <w:bidi w:val="0"/>
              <w:spacing w:before="0" w:after="283"/>
              <w:jc w:val="start"/>
              <w:rPr/>
            </w:pPr>
            <w:r>
              <w:rPr/>
              <w:t xml:space="preserve">% </w:t>
            </w:r>
          </w:p>
        </w:tc>
        <w:tc>
          <w:tcPr>
            <w:tcW w:w="800" w:type="dxa"/>
            <w:tcBorders/>
            <w:vAlign w:val="center"/>
          </w:tcPr>
          <w:p>
            <w:pPr>
              <w:pStyle w:val="TableContents"/>
              <w:bidi w:val="0"/>
              <w:spacing w:before="0" w:after="283"/>
              <w:jc w:val="start"/>
              <w:rPr>
                <w:sz w:val="4"/>
                <w:szCs w:val="4"/>
              </w:rPr>
            </w:pPr>
            <w:r>
              <w:rPr>
                <w:sz w:val="4"/>
                <w:szCs w:val="4"/>
              </w:rPr>
            </w:r>
          </w:p>
        </w:tc>
        <w:tc>
          <w:tcPr>
            <w:tcW w:w="800" w:type="dxa"/>
            <w:tcBorders/>
            <w:vAlign w:val="center"/>
          </w:tcPr>
          <w:p>
            <w:pPr>
              <w:pStyle w:val="TableContents"/>
              <w:bidi w:val="0"/>
              <w:spacing w:before="0" w:after="283"/>
              <w:jc w:val="start"/>
              <w:rPr/>
            </w:pPr>
            <w:r>
              <w:rPr/>
              <w:t xml:space="preserve">11 </w:t>
            </w:r>
          </w:p>
        </w:tc>
        <w:tc>
          <w:tcPr>
            <w:tcW w:w="800" w:type="dxa"/>
            <w:tcBorders/>
            <w:vAlign w:val="center"/>
          </w:tcPr>
          <w:p>
            <w:pPr>
              <w:pStyle w:val="TableContents"/>
              <w:bidi w:val="0"/>
              <w:spacing w:before="0" w:after="283"/>
              <w:jc w:val="start"/>
              <w:rPr/>
            </w:pPr>
            <w:r>
              <w:rPr/>
              <w:t xml:space="preserve">(23) </w:t>
            </w:r>
          </w:p>
        </w:tc>
        <w:tc>
          <w:tcPr>
            <w:tcW w:w="800" w:type="dxa"/>
            <w:tcBorders/>
            <w:vAlign w:val="center"/>
          </w:tcPr>
          <w:p>
            <w:pPr>
              <w:pStyle w:val="TableContents"/>
              <w:bidi w:val="0"/>
              <w:spacing w:before="0" w:after="283"/>
              <w:jc w:val="start"/>
              <w:rPr/>
            </w:pPr>
            <w:r>
              <w:rPr/>
              <w:t xml:space="preserve">28 </w:t>
            </w:r>
          </w:p>
        </w:tc>
        <w:tc>
          <w:tcPr>
            <w:tcW w:w="680" w:type="dxa"/>
            <w:tcBorders/>
            <w:vAlign w:val="center"/>
          </w:tcPr>
          <w:p>
            <w:pPr>
              <w:pStyle w:val="TableContents"/>
              <w:bidi w:val="0"/>
              <w:spacing w:before="0" w:after="283"/>
              <w:jc w:val="start"/>
              <w:rPr/>
            </w:pPr>
            <w:r>
              <w:rPr/>
              <w:t xml:space="preserve">34 </w:t>
            </w:r>
          </w:p>
        </w:tc>
        <w:tc>
          <w:tcPr>
            <w:tcW w:w="695" w:type="dxa"/>
            <w:tcBorders/>
            <w:vAlign w:val="center"/>
          </w:tcPr>
          <w:p>
            <w:pPr>
              <w:pStyle w:val="TableContents"/>
              <w:bidi w:val="0"/>
              <w:spacing w:before="0" w:after="283"/>
              <w:jc w:val="start"/>
              <w:rPr/>
            </w:pPr>
            <w:r>
              <w:rPr/>
              <w:t xml:space="preserve">27 </w:t>
            </w:r>
          </w:p>
        </w:tc>
      </w:tr>
    </w:tbl>
    <w:p>
      <w:pPr>
        <w:pStyle w:val="TextBody"/>
        <w:bidi w:val="0"/>
        <w:spacing w:before="0" w:after="283"/>
        <w:jc w:val="start"/>
        <w:rPr/>
      </w:pPr>
      <w:r>
        <w:rPr/>
        <w:t xml:space="preserve">Celtic’s continual chipping away at its nets debt balance over the past four years places the club in an extremely strong financial position to weather the unpredictable financial storm. The Parkhead club realised a net gain on player sales during the year 2008, which had the positive impact of reducing net debt to £6. 7m, a decrease of £3. 1m in one year (2007: £9. 1m). Furthermore, another successful season on the pitch in terms of Champions League football and revenue resulted in the club being able to repay a further portion of its debt. </w:t>
      </w:r>
    </w:p>
    <w:p>
      <w:pPr>
        <w:pStyle w:val="Heading3"/>
        <w:bidi w:val="0"/>
        <w:jc w:val="start"/>
        <w:rPr/>
      </w:pPr>
      <w:r>
        <w:rPr/>
        <w:t xml:space="preserve">Conclusion: </w:t>
      </w:r>
    </w:p>
    <w:p>
      <w:pPr>
        <w:pStyle w:val="TextBody"/>
        <w:bidi w:val="0"/>
        <w:spacing w:before="0" w:after="283"/>
        <w:jc w:val="start"/>
        <w:rPr/>
      </w:pPr>
      <w:r>
        <w:rPr/>
        <w:t xml:space="preserve">Celtic’s financial performance over the past five years has largely been driven by success in European competitions, typified by appearances in the last 16 of the UEFA Champions League for the past two seasons. Although turnover peaked during the prior season, the fall of 3% to £73m was principally a result of reduced merchandising income following only one strip launch (compared with two in the prior season). In addition, the UEFA Champions League television market pool was shared due to the club’s Old Firm rivals’ participation in the same competition. Celtic continues to manage the wage bill effectively, as displayed by its wage to turnover ratio of 53% (2007: 48%), whilst enjoying continued success on and off the field. This compares favourably with both the average of 63% for the English Premiership recorded in the 2006/07 season and the recommended ratio of 60%. Profit before tax slipped to £4. 4m (2007: £15m), due to reduced player sales, investment in the playing squad and reduced turnover. However, this still compares favourably with the seasons 2003/04 to 2005/06 when losses were recorded each year. Finally, for the fourth successive season the Parkhead club managed to reduce its net debt to £6. 7m following the peak of £19. 5m experienced during 2004/05. Continuing this trend it wouldn’t be surprising to see the club operating with no debt within the foreseeable future. </w:t>
      </w:r>
    </w:p>
    <w:p>
      <w:pPr>
        <w:pStyle w:val="Heading3"/>
        <w:bidi w:val="0"/>
        <w:jc w:val="start"/>
        <w:rPr/>
      </w:pPr>
      <w:r>
        <w:rPr/>
        <w:t xml:space="preserve">References </w:t>
      </w:r>
    </w:p>
    <w:p>
      <w:pPr>
        <w:pStyle w:val="TextBody"/>
        <w:bidi w:val="0"/>
        <w:spacing w:before="0" w:after="283"/>
        <w:jc w:val="start"/>
        <w:rPr/>
      </w:pPr>
      <w:r>
        <w:rPr/>
        <w:t xml:space="preserve">Pricewaterhouse coopers annual financial review of Scottish football (16th – 20th) </w:t>
      </w:r>
    </w:p>
    <w:p>
      <w:pPr>
        <w:pStyle w:val="TextBody"/>
        <w:bidi w:val="0"/>
        <w:spacing w:before="0" w:after="283"/>
        <w:jc w:val="start"/>
        <w:rPr/>
      </w:pPr>
      <w:r>
        <w:rPr/>
        <w:t xml:space="preserve">Scottish Football Association official website </w:t>
      </w:r>
    </w:p>
    <w:p>
      <w:pPr>
        <w:pStyle w:val="TextBody"/>
        <w:bidi w:val="0"/>
        <w:spacing w:before="0" w:after="283"/>
        <w:jc w:val="start"/>
        <w:rPr/>
      </w:pPr>
      <w:r>
        <w:rPr/>
        <w:t xml:space="preserve">Scottish Premier League official website </w:t>
      </w:r>
    </w:p>
    <w:p>
      <w:pPr>
        <w:pStyle w:val="TextBody"/>
        <w:bidi w:val="0"/>
        <w:spacing w:before="0" w:after="283"/>
        <w:jc w:val="start"/>
        <w:rPr/>
      </w:pPr>
      <w:r>
        <w:rPr/>
        <w:t xml:space="preserve">Celtic football club official website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https://assignbuster.com/the-celtic-football-and-athletic-company/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celtic football and athletic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eltic-football-and-athletic-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celtic football and athletic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celtic football and athletic company</dc:title>
  <dc:subject>Others;</dc:subject>
  <dc:creator>AssignBuster</dc:creator>
  <cp:keywords/>
  <dc:description>The aim of this report is to provide an examination of the business of the Celtic Football Club and Athletic Company Limited.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